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rPr>
          <w:rFonts w:hint="eastAsia" w:ascii="宋体" w:hAnsi="宋体" w:eastAsia="宋体" w:cs="宋体"/>
          <w:b w:val="0"/>
          <w:bCs/>
          <w:color w:val="000000"/>
          <w:sz w:val="72"/>
          <w:szCs w:val="72"/>
          <w:highlight w:val="none"/>
        </w:rPr>
      </w:pPr>
      <w:r>
        <w:rPr>
          <w:rFonts w:hint="eastAsia" w:ascii="宋体" w:hAnsi="宋体" w:eastAsia="宋体" w:cs="宋体"/>
          <w:b w:val="0"/>
          <w:bCs/>
          <w:color w:val="000000"/>
          <w:sz w:val="72"/>
          <w:szCs w:val="72"/>
          <w:highlight w:val="none"/>
        </w:rPr>
      </w:r>
      <w:r/>
    </w:p>
    <w:p>
      <w:pPr>
        <w:jc w:val="center"/>
        <w:keepLines w:val="0"/>
        <w:keepNext w:val="0"/>
        <w:pageBreakBefore w:val="0"/>
        <w:spacing w:after="156" w:line="360" w:lineRule="auto"/>
        <w:widowControl w:val="off"/>
        <w:rPr>
          <w:rFonts w:hint="eastAsia" w:ascii="宋体" w:hAnsi="宋体" w:eastAsia="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 泰兴市人民医院</w:t>
      </w:r>
      <w:r>
        <w:rPr>
          <w:rFonts w:hint="eastAsia" w:ascii="宋体" w:hAnsi="宋体" w:eastAsia="宋体" w:cs="宋体"/>
          <w:b/>
          <w:bCs/>
          <w:color w:val="000000"/>
          <w:sz w:val="72"/>
          <w:szCs w:val="72"/>
          <w:highlight w:val="none"/>
          <w:lang w:eastAsia="zh-CN"/>
        </w:rPr>
        <w:t xml:space="preserve"> </w:t>
      </w:r>
      <w:r/>
    </w:p>
    <w:p>
      <w:pPr>
        <w:jc w:val="center"/>
        <w:keepLines w:val="0"/>
        <w:keepNext w:val="0"/>
        <w:pageBreakBefore w:val="0"/>
        <w:spacing w:after="156" w:line="360" w:lineRule="auto"/>
        <w:widowControl w:val="off"/>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eastAsia="zh-CN"/>
        </w:rPr>
        <w:t xml:space="preserve">电子内镜维保（三年）项目</w:t>
      </w:r>
      <w:r/>
    </w:p>
    <w:p>
      <w:pPr>
        <w:pStyle w:val="886"/>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val="en-US" w:eastAsia="zh-CN"/>
        </w:rPr>
      </w:r>
      <w:r/>
    </w:p>
    <w:p>
      <w:pPr>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val="en-US" w:eastAsia="zh-CN"/>
        </w:rPr>
      </w:r>
      <w:r/>
    </w:p>
    <w:p>
      <w:pPr>
        <w:pStyle w:val="886"/>
        <w:rPr>
          <w:rFonts w:hint="default"/>
          <w:lang w:val="en-US" w:eastAsia="zh-CN"/>
        </w:rPr>
      </w:pPr>
      <w:r>
        <w:rPr>
          <w:rFonts w:hint="default"/>
          <w:lang w:val="en-US" w:eastAsia="zh-CN"/>
        </w:rPr>
      </w:r>
      <w:r/>
    </w:p>
    <w:p>
      <w:pPr>
        <w:jc w:val="center"/>
        <w:spacing w:line="360" w:lineRule="auto"/>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rPr>
      </w:pPr>
      <w:r>
        <w:rPr>
          <w:rFonts w:hint="eastAsia" w:ascii="宋体" w:hAnsi="宋体" w:eastAsia="宋体" w:cs="宋体"/>
          <w:b/>
          <w:bCs/>
          <w:color w:val="000000"/>
          <w:sz w:val="36"/>
          <w:highlight w:val="none"/>
        </w:rPr>
        <w:t xml:space="preserve">招标编号</w:t>
      </w:r>
      <w:r>
        <w:rPr>
          <w:rFonts w:hint="eastAsia" w:ascii="宋体" w:hAnsi="宋体" w:eastAsia="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JSZC-321283-SMDG-G2026-0036 </w:t>
      </w:r>
      <w:r/>
    </w:p>
    <w:p>
      <w:pPr>
        <w:jc w:val="center"/>
        <w:spacing w:line="440" w:lineRule="exact"/>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1" o:title=""/>
          </v:shape>
          <o:OLEObject DrawAspect="Content" r:id="rId22" ObjectID="_1525042" ProgID="PBrush" ShapeID="_x0000_i2" Type="Embed"/>
        </w:object>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采购代理机构：苏美达国际技术贸易有限公司</w:t>
      </w:r>
      <w:r/>
    </w:p>
    <w:p>
      <w:pPr>
        <w:jc w:val="center"/>
        <w:spacing w:line="360" w:lineRule="auto"/>
        <w:rPr>
          <w:rFonts w:hint="eastAsia" w:ascii="宋体" w:hAnsi="宋体" w:eastAsia="宋体" w:cs="宋体"/>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color w:val="000000"/>
          <w:sz w:val="32"/>
          <w:szCs w:val="22"/>
          <w:highlight w:val="none"/>
          <w:lang w:val="en-US" w:eastAsia="zh-CN"/>
        </w:rPr>
        <w:t xml:space="preserve">202</w:t>
      </w:r>
      <w:r>
        <w:rPr>
          <w:rFonts w:hint="eastAsia" w:ascii="宋体" w:hAnsi="宋体" w:cs="宋体"/>
          <w:b/>
          <w:color w:val="000000"/>
          <w:sz w:val="32"/>
          <w:szCs w:val="22"/>
          <w:highlight w:val="none"/>
          <w:lang w:val="en-US" w:eastAsia="zh-CN"/>
        </w:rPr>
        <w:t xml:space="preserve">6</w:t>
      </w:r>
      <w:r>
        <w:rPr>
          <w:rFonts w:hint="eastAsia" w:ascii="宋体" w:hAnsi="宋体" w:eastAsia="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5</w:t>
      </w:r>
      <w:r>
        <w:rPr>
          <w:rFonts w:hint="eastAsia" w:ascii="宋体" w:hAnsi="宋体" w:eastAsia="宋体" w:cs="宋体"/>
          <w:b/>
          <w:color w:val="000000"/>
          <w:sz w:val="32"/>
          <w:szCs w:val="22"/>
          <w:highlight w:val="none"/>
        </w:rPr>
        <w:t xml:space="preserve">月</w:t>
      </w:r>
      <w:r/>
    </w:p>
    <w:p>
      <w:pPr>
        <w:jc w:val="cente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目   录</w:t>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TOC \o "1-3" \h \u </w:instrText>
      </w:r>
      <w:r>
        <w:rPr>
          <w:rFonts w:hint="eastAsia" w:ascii="宋体" w:hAnsi="宋体" w:eastAsia="宋体" w:cs="宋体"/>
          <w:bCs/>
          <w:color w:val="000000"/>
          <w:sz w:val="24"/>
          <w:highlight w:val="none"/>
        </w:rPr>
        <w:fldChar w:fldCharType="separate"/>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采购需求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投标文件格式及附件</w:t>
      </w:r>
      <w:r/>
    </w:p>
    <w:p>
      <w:pPr>
        <w:pStyle w:val="886"/>
        <w:ind w:left="0" w:firstLine="0"/>
        <w:rPr>
          <w:rFonts w:hint="eastAsia"/>
          <w:highlight w:val="none"/>
        </w:rPr>
      </w:pPr>
      <w:r>
        <w:rPr>
          <w:rFonts w:hint="eastAsia"/>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17"/>
        <w:spacing w:line="480" w:lineRule="auto"/>
        <w:tabs>
          <w:tab w:val="right" w:pos="963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8"/>
        <w:tabs>
          <w:tab w:val="right" w:pos="9638" w:leader="dot"/>
        </w:tabs>
        <w:rPr>
          <w:rFonts w:hint="eastAsia" w:ascii="宋体" w:hAnsi="宋体" w:eastAsia="宋体" w:cs="宋体"/>
          <w:highlight w:val="none"/>
        </w:rPr>
      </w:pPr>
      <w:r>
        <w:rPr>
          <w:rFonts w:hint="eastAsia" w:ascii="宋体" w:hAnsi="宋体" w:eastAsia="宋体" w:cs="宋体"/>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bCs/>
          <w:color w:val="000000"/>
          <w:highlight w:val="none"/>
        </w:rPr>
        <w:fldChar w:fldCharType="end"/>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TOC \o "1-3" \h \u </w:instrText>
      </w:r>
      <w:r>
        <w:rPr>
          <w:rFonts w:hint="eastAsia" w:ascii="宋体" w:hAnsi="宋体" w:eastAsia="宋体" w:cs="宋体"/>
          <w:bCs/>
          <w:color w:val="000000"/>
          <w:sz w:val="24"/>
          <w:highlight w:val="none"/>
        </w:rPr>
        <w:fldChar w:fldCharType="separate"/>
      </w:r>
      <w:r/>
    </w:p>
    <w:p>
      <w:pPr>
        <w:pStyle w:val="1117"/>
        <w:spacing w:line="480" w:lineRule="auto"/>
        <w:tabs>
          <w:tab w:val="right" w:pos="963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8"/>
        <w:jc w:val="left"/>
        <w:tabs>
          <w:tab w:val="right" w:pos="9638" w:leader="dot"/>
        </w:tabs>
        <w:rPr>
          <w:rFonts w:hint="eastAsia" w:ascii="宋体" w:hAnsi="宋体" w:eastAsia="宋体" w:cs="宋体"/>
          <w:highlight w:val="none"/>
        </w:rPr>
      </w:pPr>
      <w:r>
        <w:rPr>
          <w:rFonts w:hint="eastAsia" w:ascii="宋体" w:hAnsi="宋体" w:eastAsia="宋体" w:cs="宋体"/>
          <w:highlight w:val="none"/>
        </w:rPr>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highlight w:val="none"/>
        </w:rPr>
        <w:fldChar w:fldCharType="end"/>
      </w:r>
      <w:r/>
    </w:p>
    <w:p>
      <w:pPr>
        <w:jc w:val="center"/>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sz w:val="28"/>
          <w:szCs w:val="28"/>
          <w:highlight w:val="none"/>
        </w:rPr>
      </w:r>
      <w:r/>
    </w:p>
    <w:p>
      <w:pPr>
        <w:pStyle w:val="1119"/>
        <w:ind w:right="420" w:firstLine="321"/>
        <w:jc w:val="center"/>
        <w:spacing w:line="360" w:lineRule="auto"/>
        <w:rPr>
          <w:rFonts w:hint="eastAsia" w:ascii="宋体" w:hAnsi="宋体" w:eastAsia="宋体" w:cs="宋体"/>
          <w:szCs w:val="24"/>
          <w:highlight w:val="none"/>
        </w:rPr>
      </w:pPr>
      <w:r>
        <w:rPr>
          <w:rFonts w:hint="eastAsia" w:ascii="宋体" w:hAnsi="宋体" w:eastAsia="宋体" w:cs="宋体"/>
          <w:sz w:val="32"/>
          <w:szCs w:val="32"/>
          <w:highlight w:val="none"/>
        </w:rPr>
        <w:t xml:space="preserve">第一章   投标邀请</w:t>
      </w:r>
      <w:r/>
    </w:p>
    <w:p>
      <w:pPr>
        <w:ind w:right="-159"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20"/>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苏美达国际技术贸易有限公司受</w:t>
      </w:r>
      <w:r>
        <w:rPr>
          <w:rFonts w:hint="eastAsia" w:ascii="宋体" w:hAnsi="宋体" w:eastAsia="宋体" w:cs="宋体"/>
          <w:sz w:val="21"/>
          <w:szCs w:val="21"/>
          <w:highlight w:val="none"/>
          <w:lang w:eastAsia="zh-CN"/>
        </w:rPr>
        <w:t xml:space="preserve">泰兴市人民医院</w:t>
      </w:r>
      <w:r>
        <w:rPr>
          <w:rFonts w:hint="eastAsia" w:ascii="宋体" w:hAnsi="宋体" w:eastAsia="宋体" w:cs="宋体"/>
          <w:sz w:val="21"/>
          <w:szCs w:val="21"/>
          <w:highlight w:val="none"/>
        </w:rPr>
        <w:t xml:space="preserve">委托，就</w:t>
      </w:r>
      <w:r>
        <w:rPr>
          <w:rFonts w:hint="eastAsia" w:ascii="宋体" w:hAnsi="宋体" w:eastAsia="宋体" w:cs="宋体"/>
          <w:sz w:val="21"/>
          <w:szCs w:val="21"/>
          <w:highlight w:val="none"/>
          <w:lang w:eastAsia="zh-CN"/>
        </w:rPr>
        <w:t xml:space="preserve">泰兴市人民医院</w:t>
      </w:r>
      <w:r>
        <w:rPr>
          <w:rFonts w:hint="eastAsia" w:ascii="宋体" w:hAnsi="宋体" w:eastAsia="宋体" w:cs="宋体"/>
          <w:sz w:val="21"/>
          <w:szCs w:val="21"/>
          <w:highlight w:val="none"/>
          <w:lang w:val="en-US" w:eastAsia="zh-CN"/>
        </w:rPr>
        <w:t xml:space="preserve">电子内镜维保（三年）项目</w:t>
      </w:r>
      <w:r>
        <w:rPr>
          <w:rFonts w:hint="eastAsia" w:ascii="宋体" w:hAnsi="宋体" w:eastAsia="宋体" w:cs="宋体"/>
          <w:sz w:val="21"/>
          <w:szCs w:val="21"/>
          <w:highlight w:val="none"/>
        </w:rPr>
        <w:t xml:space="preserve">进行公开招标，现欢迎符合相关条件的供应商参加投标。</w:t>
      </w:r>
      <w:r/>
    </w:p>
    <w:p>
      <w:pPr>
        <w:keepLines w:val="0"/>
        <w:keepNext w:val="0"/>
        <w:pageBreakBefore w:val="0"/>
        <w:spacing w:line="360" w:lineRule="auto"/>
        <w:rPr>
          <w:rFonts w:hint="eastAsia" w:ascii="宋体" w:hAnsi="宋体" w:eastAsia="宋体" w:cs="宋体"/>
          <w:b/>
          <w:bCs/>
          <w:highlight w:val="none"/>
        </w:rPr>
      </w:pPr>
      <w:r/>
      <w:bookmarkStart w:id="0" w:name="_Toc35393621"/>
      <w:r/>
      <w:bookmarkStart w:id="1" w:name="_Toc28359002"/>
      <w:r/>
      <w:bookmarkStart w:id="2" w:name="_Toc28359079"/>
      <w:r/>
      <w:bookmarkStart w:id="3" w:name="_Toc35393790"/>
      <w:r>
        <w:rPr>
          <w:rFonts w:hint="eastAsia" w:ascii="宋体" w:hAnsi="宋体" w:eastAsia="宋体" w:cs="宋体"/>
          <w:b/>
          <w:bCs/>
          <w:highlight w:val="none"/>
        </w:rPr>
        <w:t xml:space="preserve">一、项目基本情况</w:t>
      </w:r>
      <w:bookmarkEnd w:id="0"/>
      <w:r/>
      <w:bookmarkEnd w:id="1"/>
      <w:r/>
      <w:bookmarkEnd w:id="2"/>
      <w:r/>
      <w:bookmarkEnd w:id="3"/>
      <w:r>
        <w:rPr>
          <w:rFonts w:hint="eastAsia" w:ascii="宋体" w:hAnsi="宋体" w:eastAsia="宋体" w:cs="宋体"/>
          <w:b/>
          <w:bCs/>
          <w:highlight w:val="none"/>
        </w:rPr>
        <w:t xml:space="preserve">及采购需求</w:t>
      </w:r>
      <w:r/>
    </w:p>
    <w:p>
      <w:pP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cs="宋体"/>
          <w:color w:val="000000"/>
          <w:szCs w:val="21"/>
          <w:highlight w:val="none"/>
          <w:lang w:eastAsia="zh-CN"/>
        </w:rPr>
        <w:t xml:space="preserve">JSZC-321283-SMDG-G2026-0036 </w:t>
      </w:r>
      <w:r/>
    </w:p>
    <w:p>
      <w:pP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cs="宋体"/>
          <w:sz w:val="21"/>
          <w:szCs w:val="21"/>
          <w:highlight w:val="none"/>
          <w:lang w:val="en-US" w:eastAsia="zh-CN"/>
        </w:rPr>
        <w:t xml:space="preserve">电子内镜维保（三年）项目</w:t>
      </w:r>
      <w:r/>
    </w:p>
    <w:p>
      <w:pPr>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w:t>
      </w:r>
      <w:r>
        <w:rPr>
          <w:rFonts w:hint="eastAsia" w:ascii="宋体" w:hAnsi="宋体" w:cs="宋体"/>
          <w:color w:val="000000"/>
          <w:szCs w:val="21"/>
          <w:highlight w:val="none"/>
          <w:lang w:val="en-US" w:eastAsia="zh-CN"/>
        </w:rPr>
      </w:r>
      <w:r>
        <w:rPr>
          <w:rFonts w:hint="eastAsia" w:ascii="宋体" w:hAnsi="宋体" w:eastAsia="宋体" w:cs="宋体"/>
          <w:color w:val="000000"/>
          <w:szCs w:val="21"/>
          <w:highlight w:val="none"/>
          <w:lang w:val="en-US" w:eastAsia="zh-CN"/>
        </w:rPr>
        <w:t xml:space="preserve">预算：</w:t>
      </w:r>
      <w:r>
        <w:rPr>
          <w:rFonts w:hint="eastAsia" w:ascii="宋体" w:hAnsi="宋体" w:cs="宋体"/>
          <w:color w:val="000000"/>
          <w:szCs w:val="21"/>
          <w:highlight w:val="none"/>
          <w:lang w:val="en-US" w:eastAsia="zh-CN"/>
        </w:rPr>
        <w:t xml:space="preserve">255.00万元/3年</w:t>
      </w:r>
      <w:r/>
    </w:p>
    <w:p>
      <w:pPr>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最高限价：255.00万元/3年</w:t>
      </w:r>
      <w:r/>
    </w:p>
    <w:p>
      <w:pPr>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采购需求：内镜中心电子内镜维保，型号：奥林巴斯260/290</w:t>
      </w:r>
      <w:r/>
    </w:p>
    <w:p>
      <w:pPr>
        <w:keepLines w:val="0"/>
        <w:keepNext w:val="0"/>
        <w:pageBreakBefore w:val="0"/>
        <w:spacing w:line="360" w:lineRule="auto"/>
        <w:rPr>
          <w:rFonts w:hint="default" w:ascii="宋体" w:hAnsi="宋体" w:cs="宋体"/>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合同履行期限</w:t>
      </w:r>
      <w:r>
        <w:rPr>
          <w:rFonts w:hint="eastAsia" w:ascii="宋体" w:hAnsi="宋体" w:eastAsia="宋体" w:cs="宋体"/>
          <w:color w:val="000000"/>
          <w:szCs w:val="21"/>
          <w:highlight w:val="none"/>
        </w:rPr>
        <w:t xml:space="preserve">：三年</w:t>
      </w:r>
      <w:r/>
    </w:p>
    <w:p>
      <w:pPr>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本项目标的所属行业：其他未列明行业</w:t>
      </w:r>
      <w:r/>
    </w:p>
    <w:p>
      <w:pPr>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本项目不接受联合体投标</w:t>
      </w:r>
      <w:r/>
    </w:p>
    <w:p>
      <w:pPr>
        <w:numPr>
          <w:ilvl w:val="0"/>
          <w:numId w:val="2"/>
        </w:num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申请人的资格要求：</w:t>
      </w:r>
      <w:r/>
    </w:p>
    <w:p>
      <w:pPr>
        <w:ind w:left="0" w:firstLine="0"/>
        <w:keepLines w:val="0"/>
        <w:keepNext w:val="0"/>
        <w:pageBreakBefore w:val="0"/>
        <w:spacing w:line="360" w:lineRule="auto"/>
        <w:rPr>
          <w:rFonts w:hint="eastAsia" w:ascii="宋体" w:hAnsi="宋体" w:eastAsia="宋体" w:cs="Times New Roman"/>
        </w:rPr>
      </w:pPr>
      <w:r/>
      <w:bookmarkStart w:id="4" w:name="_Toc35393792"/>
      <w:r/>
      <w:bookmarkStart w:id="5" w:name="_Toc35393623"/>
      <w:r/>
      <w:bookmarkStart w:id="6" w:name="_Toc35393625"/>
      <w:r/>
      <w:bookmarkStart w:id="7" w:name="_Toc28359007"/>
      <w:r/>
      <w:bookmarkStart w:id="8" w:name="_Toc35393794"/>
      <w:r/>
      <w:bookmarkStart w:id="9" w:name="_Toc28359084"/>
      <w:r>
        <w:rPr>
          <w:rFonts w:hint="eastAsia" w:ascii="宋体" w:hAnsi="宋体" w:eastAsia="宋体" w:cs="Times New Roman"/>
        </w:rPr>
        <w:t xml:space="preserve">1、根据《中华人民共和国政府采购法》第二十二条规定，供应商应当具备下列一般资格条件：</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1)具有独立承担民事责任的能力；</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2)具有良好的商业信誉和健全的财务会计制度；</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3)具有履行合同所必需的设备和专业技术能力；</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4)参加政府采购活动近三年内（成立时间不足三年的，可以自成立时间起），在经营活动中没有重大违法记录；</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5)有依法缴纳税收和社会保障资金的良好记录；</w:t>
      </w:r>
      <w:r/>
    </w:p>
    <w:p>
      <w:pPr>
        <w:ind w:left="0" w:firstLine="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6）法律、行政法规规定的其他条件。</w:t>
      </w:r>
      <w:r/>
    </w:p>
    <w:p>
      <w:pPr>
        <w:spacing w:line="360" w:lineRule="auto"/>
        <w:rPr>
          <w:rFonts w:hint="default" w:ascii="Times New Roman" w:hAnsi="Times New Roman" w:eastAsia="宋体" w:cs="Times New Roman"/>
          <w:highlight w:val="none"/>
        </w:rPr>
      </w:pPr>
      <w:r>
        <w:rPr>
          <w:rFonts w:hint="eastAsia" w:ascii="宋体" w:hAnsi="宋体" w:eastAsia="宋体" w:cs="宋体"/>
          <w:sz w:val="21"/>
          <w:szCs w:val="21"/>
          <w:lang w:val="en-US" w:eastAsia="zh-CN" w:bidi="ar-SA"/>
        </w:rPr>
        <w:t xml:space="preserve">2、落实政府采购政策需满足的资格要求：</w:t>
      </w:r>
      <w:r>
        <w:rPr>
          <w:rFonts w:hint="default" w:ascii="Times New Roman" w:hAnsi="Times New Roman" w:eastAsia="宋体" w:cs="Times New Roman"/>
          <w:highlight w:val="none"/>
        </w:rPr>
        <w:t xml:space="preserve">本项目为非预留份额的采购项目或采购包，执行价格扣除优惠政策，给予小微型企业、监狱企业或残疾人福利性单位报价</w:t>
      </w:r>
      <w:r>
        <w:rPr>
          <w:rFonts w:hint="eastAsia" w:ascii="Times New Roman" w:hAnsi="Times New Roman" w:eastAsia="宋体" w:cs="Times New Roman"/>
          <w:highlight w:val="none"/>
        </w:rPr>
        <w:t xml:space="preserve">1</w:t>
      </w:r>
      <w:r>
        <w:rPr>
          <w:rFonts w:hint="default" w:ascii="Times New Roman" w:hAnsi="Times New Roman" w:eastAsia="宋体" w:cs="Times New Roman"/>
          <w:highlight w:val="none"/>
        </w:rPr>
        <w:t xml:space="preserve">0%的扣除，用扣除后的价格参加评审。价格扣除比例对小型企业和微型企业同等对待，不作区分。监狱企业、残疾人福利单位属于小型、微型企业的，不重复享受政策。</w:t>
      </w:r>
      <w:r/>
    </w:p>
    <w:p>
      <w:pPr>
        <w:ind w:left="0" w:firstLine="0"/>
        <w:keepLines w:val="0"/>
        <w:keepNext w:val="0"/>
        <w:pageBreakBefore w:val="0"/>
        <w:spacing w:line="360" w:lineRule="auto"/>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3</w:t>
      </w:r>
      <w:r>
        <w:rPr>
          <w:rFonts w:hint="eastAsia" w:ascii="宋体" w:hAnsi="宋体" w:eastAsia="宋体" w:cs="Times New Roman"/>
          <w:b/>
          <w:bCs/>
        </w:rPr>
        <w:t xml:space="preserve">、本项目的特定资格要求：</w:t>
      </w:r>
      <w:r>
        <w:rPr>
          <w:rFonts w:hint="eastAsia" w:ascii="宋体" w:hAnsi="宋体" w:eastAsia="宋体" w:cs="Times New Roman"/>
          <w:b/>
          <w:bCs/>
          <w:lang w:val="en-US" w:eastAsia="zh-CN"/>
        </w:rPr>
        <w:t xml:space="preserve">无</w:t>
      </w:r>
      <w:r/>
    </w:p>
    <w:p>
      <w:pPr>
        <w:ind w:left="0" w:firstLine="0"/>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4、拒绝下述供应商参加本次采购活动的情形：</w:t>
      </w:r>
      <w:r/>
    </w:p>
    <w:p>
      <w:pPr>
        <w:ind w:left="0" w:firstLine="0"/>
        <w:keepLines w:val="0"/>
        <w:keepNext w:val="0"/>
        <w:pageBreakBefore w:val="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1）供应商单位负责人为同一人或者存在直接控股、管理关系的不同供应商，不得参加同一合同项下的政府采购活动；</w:t>
      </w:r>
      <w:r/>
    </w:p>
    <w:p>
      <w:pPr>
        <w:ind w:left="0" w:firstLine="0"/>
        <w:keepLines w:val="0"/>
        <w:keepNext w:val="0"/>
        <w:pageBreakBefore w:val="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2）凡为采购项目提供整体设计、规范编制或者项目管理、监理、检测等服务的供应商，不得再参加本项目的采购活动；</w:t>
      </w:r>
      <w:r/>
    </w:p>
    <w:p>
      <w:pPr>
        <w:ind w:left="0" w:firstLine="0"/>
        <w:keepLines w:val="0"/>
        <w:keepNext w:val="0"/>
        <w:pageBreakBefore w:val="0"/>
        <w:spacing w:line="360" w:lineRule="auto"/>
        <w:rPr>
          <w:rFonts w:ascii="宋体" w:hAnsi="宋体" w:eastAsia="宋体" w:cs="Times New Roman"/>
          <w:highlight w:val="none"/>
          <w:lang w:val="en-US" w:eastAsia="zh-CN"/>
        </w:rPr>
      </w:pPr>
      <w:r>
        <w:rPr>
          <w:rFonts w:hint="eastAsia" w:ascii="宋体" w:hAnsi="宋体" w:eastAsia="宋体" w:cs="Times New Roman"/>
          <w:lang w:val="en-US" w:eastAsia="zh-CN"/>
        </w:rPr>
        <w:t xml:space="preserve">3）被“信用中国”（</w:t>
      </w:r>
      <w:r>
        <w:rPr>
          <w:rFonts w:hint="eastAsia" w:ascii="宋体" w:hAnsi="宋体" w:eastAsia="宋体" w:cs="Times New Roman"/>
          <w:lang w:val="en-US" w:eastAsia="zh-CN"/>
        </w:rPr>
        <w:fldChar w:fldCharType="begin"/>
      </w:r>
      <w:r>
        <w:rPr>
          <w:rFonts w:hint="eastAsia" w:ascii="宋体" w:hAnsi="宋体" w:eastAsia="宋体" w:cs="Times New Roman"/>
          <w:lang w:val="en-US" w:eastAsia="zh-CN"/>
        </w:rPr>
        <w:instrText xml:space="preserve"> HYPERLINK "http://www.creditchina.gov.cn/" </w:instrText>
      </w:r>
      <w:r>
        <w:rPr>
          <w:rFonts w:hint="eastAsia" w:ascii="宋体" w:hAnsi="宋体" w:eastAsia="宋体" w:cs="Times New Roman"/>
          <w:lang w:val="en-US" w:eastAsia="zh-CN"/>
        </w:rPr>
        <w:fldChar w:fldCharType="separate"/>
      </w:r>
      <w:r>
        <w:rPr>
          <w:rFonts w:hint="eastAsia" w:ascii="宋体" w:hAnsi="宋体" w:eastAsia="宋体" w:cs="Times New Roman"/>
          <w:lang w:val="en-US" w:eastAsia="zh-CN"/>
        </w:rPr>
        <w:t xml:space="preserve">www.creditchina.gov.cn</w:t>
      </w:r>
      <w:r>
        <w:rPr>
          <w:rFonts w:hint="eastAsia" w:ascii="宋体" w:hAnsi="宋体" w:eastAsia="宋体" w:cs="Times New Roman"/>
          <w:lang w:val="en-US" w:eastAsia="zh-CN"/>
        </w:rPr>
        <w:fldChar w:fldCharType="end"/>
      </w:r>
      <w:r>
        <w:rPr>
          <w:rFonts w:hint="eastAsia" w:ascii="宋体" w:hAnsi="宋体" w:eastAsia="宋体" w:cs="Times New Roman"/>
          <w:lang w:val="en-US" w:eastAsia="zh-CN"/>
        </w:rPr>
        <w:t xml:space="preserve">）、中国政府采购网（</w:t>
      </w:r>
      <w:r>
        <w:rPr>
          <w:rFonts w:hint="eastAsia" w:ascii="宋体" w:hAnsi="宋体" w:eastAsia="宋体" w:cs="Times New Roman"/>
          <w:lang w:val="en-US" w:eastAsia="zh-CN"/>
        </w:rPr>
        <w:fldChar w:fldCharType="begin"/>
      </w:r>
      <w:r>
        <w:rPr>
          <w:rFonts w:hint="eastAsia" w:ascii="宋体" w:hAnsi="宋体" w:eastAsia="宋体" w:cs="Times New Roman"/>
          <w:lang w:val="en-US" w:eastAsia="zh-CN"/>
        </w:rPr>
        <w:instrText xml:space="preserve"> HYPERLINK "http://www.ccgp.gov.cn/" </w:instrText>
      </w:r>
      <w:r>
        <w:rPr>
          <w:rFonts w:hint="eastAsia" w:ascii="宋体" w:hAnsi="宋体" w:eastAsia="宋体" w:cs="Times New Roman"/>
          <w:lang w:val="en-US" w:eastAsia="zh-CN"/>
        </w:rPr>
        <w:fldChar w:fldCharType="separate"/>
      </w:r>
      <w:r>
        <w:rPr>
          <w:rFonts w:hint="eastAsia" w:ascii="宋体" w:hAnsi="宋体" w:eastAsia="宋体" w:cs="Times New Roman"/>
          <w:lang w:val="en-US" w:eastAsia="zh-CN"/>
        </w:rPr>
        <w:t xml:space="preserve">www.ccgp.gov.cn</w:t>
      </w:r>
      <w:r>
        <w:rPr>
          <w:rFonts w:hint="eastAsia" w:ascii="宋体" w:hAnsi="宋体" w:eastAsia="宋体" w:cs="Times New Roman"/>
          <w:lang w:val="en-US" w:eastAsia="zh-CN"/>
        </w:rPr>
        <w:fldChar w:fldCharType="end"/>
      </w:r>
      <w:r>
        <w:rPr>
          <w:rFonts w:hint="eastAsia" w:ascii="宋体" w:hAnsi="宋体" w:eastAsia="宋体" w:cs="Times New Roman"/>
          <w:lang w:val="en-US" w:eastAsia="zh-CN"/>
        </w:rPr>
        <w:t xml:space="preserve">）列入失信被执行人、重大税收违法案件当事人名单、政府采购严重违法失信行为记录名单。</w:t>
      </w:r>
      <w:bookmarkEnd w:id="4"/>
      <w:r/>
      <w:bookmarkEnd w:id="5"/>
      <w:r/>
      <w:r/>
    </w:p>
    <w:p>
      <w:pPr>
        <w:pStyle w:val="1116"/>
        <w:ind w:firstLine="0"/>
        <w:keepLines w:val="0"/>
        <w:keepNext w:val="0"/>
        <w:pageBreakBefore w:val="0"/>
        <w:spacing w:line="360" w:lineRule="auto"/>
        <w:rPr>
          <w:rFonts w:hint="eastAsia" w:ascii="宋体" w:hAnsi="宋体" w:eastAsia="宋体" w:cs="宋体"/>
          <w:bCs/>
          <w:sz w:val="21"/>
          <w:highlight w:val="none"/>
        </w:rPr>
      </w:pPr>
      <w:r>
        <w:rPr>
          <w:rFonts w:hint="eastAsia" w:ascii="宋体" w:hAnsi="宋体" w:eastAsia="宋体" w:cs="宋体"/>
          <w:bCs/>
          <w:sz w:val="21"/>
          <w:highlight w:val="none"/>
        </w:rPr>
        <w:t xml:space="preserve">三、获取招标文件</w:t>
      </w:r>
      <w:r/>
    </w:p>
    <w:p>
      <w:pPr>
        <w:pStyle w:val="1116"/>
        <w:ind w:firstLine="0"/>
        <w:keepLines w:val="0"/>
        <w:keepNext w:val="0"/>
        <w:pageBreakBefore w:val="0"/>
        <w:spacing w:line="360" w:lineRule="auto"/>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1、时间：自招标文件公告发布之日起5个工作日。</w:t>
      </w:r>
      <w:r/>
    </w:p>
    <w:p>
      <w:pPr>
        <w:pStyle w:val="1116"/>
        <w:ind w:firstLine="0"/>
        <w:keepLines w:val="0"/>
        <w:keepNext w:val="0"/>
        <w:pageBreakBefore w:val="0"/>
        <w:spacing w:line="360" w:lineRule="auto"/>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2、方式：在“苏采云”系统自行免费下载招标文件。</w:t>
      </w:r>
      <w:r/>
    </w:p>
    <w:p>
      <w:pPr>
        <w:keepLines w:val="0"/>
        <w:keepNext w:val="0"/>
        <w:pageBreakBefore w:val="0"/>
        <w:spacing w:line="360" w:lineRule="auto"/>
        <w:rPr>
          <w:rFonts w:hint="eastAsia" w:ascii="宋体" w:hAnsi="宋体" w:eastAsia="宋体" w:cs="宋体"/>
          <w:b/>
          <w:bCs/>
          <w:highlight w:val="none"/>
        </w:rPr>
      </w:pPr>
      <w:r/>
      <w:bookmarkStart w:id="10" w:name="_Toc28359005"/>
      <w:r/>
      <w:bookmarkStart w:id="11" w:name="_Toc28359082"/>
      <w:r/>
      <w:bookmarkStart w:id="12" w:name="_Toc35393793"/>
      <w:r/>
      <w:bookmarkStart w:id="13" w:name="_Toc35393624"/>
      <w:r>
        <w:rPr>
          <w:rFonts w:hint="eastAsia" w:ascii="宋体" w:hAnsi="宋体" w:eastAsia="宋体" w:cs="宋体"/>
          <w:b/>
          <w:bCs/>
          <w:highlight w:val="none"/>
        </w:rPr>
        <w:t xml:space="preserve">四、投标</w:t>
      </w:r>
      <w:bookmarkEnd w:id="10"/>
      <w:r/>
      <w:bookmarkEnd w:id="11"/>
      <w:r>
        <w:rPr>
          <w:rFonts w:hint="eastAsia" w:ascii="宋体" w:hAnsi="宋体" w:eastAsia="宋体" w:cs="宋体"/>
          <w:b/>
          <w:bCs/>
          <w:highlight w:val="none"/>
        </w:rPr>
        <w:t xml:space="preserve">截止时间、开标时间和地点</w:t>
      </w:r>
      <w:bookmarkEnd w:id="12"/>
      <w:r/>
      <w:bookmarkEnd w:id="13"/>
      <w:r/>
      <w:r/>
    </w:p>
    <w:p>
      <w:pPr>
        <w:pStyle w:val="1121"/>
        <w:ind w:firstLine="0"/>
        <w:keepLines w:val="0"/>
        <w:keepNext w:val="0"/>
        <w:pageBreakBefore w:val="0"/>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rPr>
        <w:t xml:space="preserve">1、投标截止时间：</w:t>
      </w:r>
      <w:r>
        <w:rPr>
          <w:rFonts w:hint="eastAsia" w:ascii="宋体" w:hAnsi="宋体" w:eastAsia="宋体" w:cs="宋体"/>
          <w:sz w:val="21"/>
          <w:szCs w:val="20"/>
          <w:highlight w:val="none"/>
          <w:lang w:val="en-US" w:eastAsia="zh-CN" w:bidi="ar-SA"/>
        </w:rPr>
        <w:t xml:space="preserve">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3</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rPr>
        <w:t xml:space="preserve">（北京时间）</w:t>
      </w:r>
      <w:r>
        <w:rPr>
          <w:rFonts w:hint="eastAsia" w:ascii="宋体" w:hAnsi="宋体" w:eastAsia="宋体" w:cs="宋体"/>
          <w:sz w:val="21"/>
          <w:szCs w:val="20"/>
          <w:highlight w:val="none"/>
          <w:lang w:val="en-US" w:eastAsia="zh-CN"/>
        </w:rPr>
        <w:t xml:space="preserve"> </w:t>
      </w:r>
      <w:r/>
    </w:p>
    <w:p>
      <w:pPr>
        <w:pStyle w:val="1121"/>
        <w:ind w:firstLine="0"/>
        <w:keepLines w:val="0"/>
        <w:keepNext w:val="0"/>
        <w:pageBreakBefore w:val="0"/>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rPr>
        <w:t xml:space="preserve">2、开标时间：</w:t>
      </w:r>
      <w:r>
        <w:rPr>
          <w:rFonts w:hint="eastAsia" w:ascii="宋体" w:hAnsi="宋体" w:eastAsia="宋体" w:cs="宋体"/>
          <w:sz w:val="21"/>
          <w:szCs w:val="20"/>
          <w:highlight w:val="none"/>
          <w:lang w:val="en-US" w:eastAsia="zh-CN" w:bidi="ar-SA"/>
        </w:rPr>
        <w:t xml:space="preserve">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3</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rPr>
        <w:t xml:space="preserve">（北京时间）</w:t>
      </w:r>
      <w:r>
        <w:rPr>
          <w:rFonts w:hint="eastAsia" w:ascii="宋体" w:hAnsi="宋体" w:eastAsia="宋体" w:cs="宋体"/>
          <w:sz w:val="21"/>
          <w:szCs w:val="20"/>
          <w:highlight w:val="none"/>
          <w:lang w:val="en-US" w:eastAsia="zh-CN"/>
        </w:rPr>
        <w:t xml:space="preserve">  </w:t>
      </w:r>
      <w:r/>
    </w:p>
    <w:p>
      <w:pPr>
        <w:pStyle w:val="1121"/>
        <w:ind w:firstLine="0"/>
        <w:keepLines w:val="0"/>
        <w:keepNext w:val="0"/>
        <w:pageBreakBefore w:val="0"/>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注：各供应商请关注开标大厅交流区，在开标结束后，请勿离开开标大厅。</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五、公告期限</w:t>
      </w:r>
      <w:bookmarkEnd w:id="6"/>
      <w:r/>
      <w:bookmarkEnd w:id="7"/>
      <w:r/>
      <w:bookmarkEnd w:id="8"/>
      <w:r/>
      <w:bookmarkEnd w:id="9"/>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自本公告发布之日起5个工作日。</w:t>
      </w:r>
      <w:r/>
    </w:p>
    <w:p>
      <w:pPr>
        <w:numPr>
          <w:ilvl w:val="0"/>
          <w:numId w:val="3"/>
        </w:numPr>
        <w:keepLines w:val="0"/>
        <w:keepNext w:val="0"/>
        <w:pageBreakBefore w:val="0"/>
        <w:spacing w:line="360" w:lineRule="auto"/>
        <w:widowControl w:val="off"/>
        <w:rPr>
          <w:rFonts w:hint="eastAsia" w:ascii="宋体" w:hAnsi="宋体" w:eastAsia="宋体" w:cs="宋体"/>
          <w:b/>
          <w:bCs/>
          <w:highlight w:val="none"/>
        </w:rPr>
      </w:pPr>
      <w:r/>
      <w:bookmarkStart w:id="14" w:name="_Toc35393795"/>
      <w:r/>
      <w:bookmarkStart w:id="15" w:name="_Toc35393626"/>
      <w:r>
        <w:rPr>
          <w:rFonts w:hint="eastAsia" w:ascii="宋体" w:hAnsi="宋体" w:eastAsia="宋体" w:cs="宋体"/>
          <w:b/>
          <w:bCs/>
          <w:highlight w:val="none"/>
        </w:rPr>
        <w:t xml:space="preserve">其他补充事宜</w:t>
      </w:r>
      <w:bookmarkEnd w:id="14"/>
      <w:r/>
      <w:bookmarkEnd w:id="15"/>
      <w:r/>
      <w:r/>
    </w:p>
    <w:p>
      <w:pPr>
        <w:ind w:firstLine="0"/>
        <w:jc w:val="both"/>
        <w:keepLines w:val="0"/>
        <w:keepNext w:val="0"/>
        <w:pageBreakBefore w:val="0"/>
        <w:spacing w:line="360" w:lineRule="auto"/>
        <w:widowControl w:val="off"/>
        <w:rPr>
          <w:rFonts w:hint="eastAsia" w:ascii="宋体" w:hAnsi="宋体" w:eastAsia="宋体" w:cs="宋体"/>
          <w:b w:val="0"/>
          <w:sz w:val="21"/>
          <w:highlight w:val="none"/>
          <w:lang w:val="en-US" w:eastAsia="zh-CN" w:bidi="ar-SA"/>
        </w:rPr>
      </w:pPr>
      <w:r/>
      <w:bookmarkStart w:id="16" w:name="_Toc28359085"/>
      <w:r/>
      <w:bookmarkStart w:id="17" w:name="_Toc35393627"/>
      <w:r/>
      <w:bookmarkStart w:id="18" w:name="_Toc28359008"/>
      <w:r/>
      <w:bookmarkStart w:id="19" w:name="_Toc35393796"/>
      <w:r>
        <w:rPr>
          <w:rFonts w:hint="eastAsia" w:ascii="宋体" w:hAnsi="宋体" w:eastAsia="宋体" w:cs="宋体"/>
          <w:b w:val="0"/>
          <w:sz w:val="21"/>
          <w:highlight w:val="none"/>
          <w:lang w:val="en-US" w:eastAsia="zh-CN" w:bidi="ar-SA"/>
        </w:rPr>
        <w:t xml:space="preserve">1、本项目公告媒体：江苏省政府采购网（http://www.ccgp-jiangsu.gov.cn/）</w:t>
      </w:r>
      <w:r/>
    </w:p>
    <w:p>
      <w:pPr>
        <w:ind w:firstLine="0"/>
        <w:jc w:val="both"/>
        <w:keepLines w:val="0"/>
        <w:keepNext w:val="0"/>
        <w:pageBreakBefore w:val="0"/>
        <w:spacing w:line="360" w:lineRule="auto"/>
        <w:widowControl w:val="off"/>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0"/>
        <w:jc w:val="both"/>
        <w:keepLines w:val="0"/>
        <w:keepNext w:val="0"/>
        <w:pageBreakBefore w:val="0"/>
        <w:spacing w:line="360" w:lineRule="auto"/>
        <w:widowControl w:val="off"/>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http://www.ccgp-jiangsu.gov.cn/jiangsu/zlxz/ee/ee3a4bc5a3454aa2b0d9312230633ce9.html。</w:t>
      </w:r>
      <w:r/>
    </w:p>
    <w:p>
      <w:pPr>
        <w:numPr>
          <w:ilvl w:val="0"/>
          <w:numId w:val="0"/>
        </w:numPr>
        <w:keepLines w:val="0"/>
        <w:keepNext w:val="0"/>
        <w:pageBreakBefore w:val="0"/>
        <w:spacing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Times New Roman" w:hAnsi="Times New Roman" w:eastAsia="宋体" w:cs="Times New Roman"/>
          <w:highlight w:val="none"/>
          <w:lang w:eastAsia="zh-CN"/>
        </w:rPr>
        <w:t xml:space="preserve">；</w:t>
      </w:r>
      <w:r/>
    </w:p>
    <w:p>
      <w:pPr>
        <w:numPr>
          <w:ilvl w:val="0"/>
          <w:numId w:val="4"/>
        </w:numPr>
        <w:keepLines w:val="0"/>
        <w:keepNext w:val="0"/>
        <w:pageBreakBefore w:val="0"/>
        <w:spacing w:line="360" w:lineRule="auto"/>
        <w:rPr>
          <w:rFonts w:hint="eastAsia" w:ascii="宋体" w:hAnsi="宋体" w:eastAsia="宋体" w:cs="宋体"/>
          <w:b/>
          <w:bCs/>
          <w:highlight w:val="none"/>
        </w:rPr>
      </w:pPr>
      <w:r>
        <w:rPr>
          <w:rFonts w:hint="eastAsia" w:ascii="Times New Roman" w:hAnsi="Times New Roman" w:eastAsia="宋体" w:cs="Times New Roman"/>
          <w:highlight w:val="none"/>
        </w:rPr>
        <w:t xml:space="preserve">有关本次招标的事项若存在变动或修改，敬请及时关注在“江苏政府采购网”发布的更正公告。</w:t>
      </w:r>
      <w:r/>
    </w:p>
    <w:p>
      <w:p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eastAsia="宋体" w:cs="宋体"/>
          <w:szCs w:val="21"/>
          <w:highlight w:val="none"/>
        </w:rPr>
      </w:pPr>
      <w:r/>
      <w:bookmarkStart w:id="20" w:name="_Toc16975"/>
      <w:r/>
      <w:bookmarkStart w:id="21" w:name="_Toc28996"/>
      <w:r>
        <w:rPr>
          <w:rFonts w:hint="eastAsia" w:ascii="宋体" w:hAnsi="宋体" w:eastAsia="宋体" w:cs="宋体"/>
          <w:szCs w:val="21"/>
          <w:highlight w:val="none"/>
        </w:rPr>
        <w:t xml:space="preserve">1.采购人信息</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lang w:eastAsia="zh-CN"/>
        </w:rPr>
        <w:t xml:space="preserve">泰兴市人民医院</w:t>
      </w:r>
      <w:r>
        <w:rPr>
          <w:rFonts w:hint="eastAsia" w:ascii="宋体" w:hAnsi="宋体" w:eastAsia="宋体" w:cs="宋体"/>
          <w:szCs w:val="21"/>
          <w:highlight w:val="none"/>
        </w:rPr>
        <w:t xml:space="preserve">　　　　　　　　　　　</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地址：江苏省泰兴市长征路1号(泰兴市润泰南路98号)</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p>
    <w:p>
      <w:pPr>
        <w:keepLines w:val="0"/>
        <w:keepNext w:val="0"/>
        <w:pageBreakBefore w:val="0"/>
        <w:spacing w:line="360" w:lineRule="auto"/>
        <w:rPr>
          <w:rFonts w:hint="eastAsia" w:ascii="宋体" w:hAnsi="宋体" w:eastAsia="宋体" w:cs="宋体"/>
          <w:szCs w:val="21"/>
          <w:highlight w:val="none"/>
          <w:lang w:val="en-US" w:eastAsia="zh-CN"/>
        </w:rPr>
      </w:pPr>
      <w:r/>
      <w:bookmarkStart w:id="22" w:name="_Toc28359009"/>
      <w:r/>
      <w:bookmarkStart w:id="23" w:name="_Toc28359086"/>
      <w:r>
        <w:rPr>
          <w:rFonts w:hint="eastAsia" w:ascii="宋体" w:hAnsi="宋体" w:eastAsia="宋体" w:cs="宋体"/>
          <w:szCs w:val="21"/>
          <w:highlight w:val="none"/>
          <w:lang w:val="en-US" w:eastAsia="zh-CN"/>
        </w:rPr>
        <w:t xml:space="preserve">联系人：</w:t>
      </w:r>
      <w:r>
        <w:rPr>
          <w:rFonts w:hint="eastAsia" w:ascii="宋体" w:hAnsi="宋体" w:eastAsia="宋体" w:cs="宋体"/>
          <w:szCs w:val="21"/>
          <w:highlight w:val="none"/>
          <w:lang w:eastAsia="zh-CN"/>
        </w:rPr>
        <w:t xml:space="preserve">刘松林</w:t>
      </w:r>
      <w:r>
        <w:rPr>
          <w:rFonts w:hint="eastAsia" w:ascii="宋体" w:hAnsi="宋体" w:eastAsia="宋体" w:cs="宋体"/>
          <w:szCs w:val="21"/>
          <w:highlight w:val="none"/>
          <w:lang w:val="en-US" w:eastAsia="zh-CN"/>
        </w:rPr>
        <w:t xml:space="preserve">   </w:t>
      </w:r>
      <w:r/>
    </w:p>
    <w:p>
      <w:pPr>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联系方式：</w:t>
      </w:r>
      <w:r>
        <w:rPr>
          <w:rFonts w:hint="eastAsia" w:ascii="宋体" w:hAnsi="宋体" w:eastAsia="宋体" w:cs="宋体"/>
          <w:szCs w:val="21"/>
          <w:highlight w:val="none"/>
          <w:lang w:eastAsia="zh-CN"/>
        </w:rPr>
        <w:t xml:space="preserve">0523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87919878</w:t>
      </w:r>
      <w:r>
        <w:rPr>
          <w:rFonts w:hint="eastAsia" w:ascii="宋体" w:hAnsi="宋体" w:eastAsia="宋体" w:cs="宋体"/>
          <w:szCs w:val="21"/>
          <w:highlight w:val="none"/>
          <w:lang w:val="en-US" w:eastAsia="zh-CN"/>
        </w:rPr>
        <w:t xml:space="preserve">   </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2.采购代理机构信息</w:t>
      </w:r>
      <w:bookmarkEnd w:id="22"/>
      <w:r/>
      <w:bookmarkEnd w:id="23"/>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称：苏美达国际技术贸易有限公司</w:t>
      </w:r>
      <w:r/>
    </w:p>
    <w:p>
      <w:pPr>
        <w:keepLines w:val="0"/>
        <w:keepNext w:val="0"/>
        <w:pageBreakBefore w:val="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地　址：南京市长江路198号苏美达大厦</w:t>
      </w:r>
      <w:r>
        <w:rPr>
          <w:rFonts w:hint="eastAsia" w:ascii="宋体" w:hAnsi="宋体" w:eastAsia="宋体" w:cs="宋体"/>
          <w:szCs w:val="21"/>
          <w:highlight w:val="none"/>
          <w:lang w:val="en-US" w:eastAsia="zh-CN"/>
        </w:rPr>
        <w:t xml:space="preserve">9楼</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w:t>
      </w:r>
      <w:bookmarkStart w:id="24" w:name="_Toc28359010"/>
      <w:r/>
      <w:bookmarkStart w:id="25" w:name="_Toc28359087"/>
      <w:r>
        <w:rPr>
          <w:rFonts w:hint="eastAsia" w:ascii="宋体" w:hAnsi="宋体" w:eastAsia="宋体" w:cs="宋体"/>
          <w:szCs w:val="21"/>
          <w:highlight w:val="none"/>
        </w:rPr>
        <w:t xml:space="preserve">人：朱志云</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联系电话：025-84531057</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bookmarkEnd w:id="24"/>
      <w:r/>
      <w:bookmarkEnd w:id="25"/>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项目联系人：朱志云</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话：025-84531057</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邮箱：</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"mailto:zhuzhiyun@sumec.com.cn"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zhuzhiyun@sumec.com.cn</w:t>
      </w:r>
      <w:r>
        <w:rPr>
          <w:rFonts w:hint="eastAsia" w:ascii="宋体" w:hAnsi="宋体" w:eastAsia="宋体" w:cs="宋体"/>
          <w:szCs w:val="21"/>
          <w:highlight w:val="none"/>
        </w:rPr>
        <w:fldChar w:fldCharType="end"/>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86"/>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886"/>
        <w:rPr>
          <w:rFonts w:hint="eastAsia"/>
        </w:rPr>
      </w:pPr>
      <w:r>
        <w:rPr>
          <w:rFonts w:hint="eastAsia"/>
        </w:rPr>
      </w:r>
      <w:r/>
    </w:p>
    <w:p>
      <w:pPr>
        <w:jc w:val="center"/>
        <w:spacing w:line="44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第二章 投标人须知</w:t>
      </w:r>
      <w:bookmarkEnd w:id="20"/>
      <w:r/>
      <w:bookmarkEnd w:id="21"/>
      <w:r/>
      <w:r/>
    </w:p>
    <w:p>
      <w:pPr>
        <w:spacing w:line="44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投标人须知前附表</w:t>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8928" w:type="dxa"/>
            <w:vAlign w:val="center"/>
            <w:textDirection w:val="lrTb"/>
            <w:noWrap w:val="false"/>
          </w:tcPr>
          <w:p>
            <w:pPr>
              <w:jc w:val="center"/>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Arial" w:hAnsi="Arial" w:eastAsia="宋体" w:cs="Arial"/>
                <w:color w:val="000000"/>
                <w:szCs w:val="21"/>
                <w:highlight w:val="none"/>
                <w:lang w:eastAsia="zh-CN"/>
              </w:rPr>
            </w:pPr>
            <w:r>
              <w:rPr>
                <w:rFonts w:hint="eastAsia" w:ascii="Arial" w:hAnsi="Arial" w:eastAsia="宋体" w:cs="Arial"/>
                <w:color w:val="000000"/>
                <w:szCs w:val="21"/>
                <w:highlight w:val="none"/>
              </w:rPr>
              <w:t xml:space="preserve">采购人</w:t>
            </w:r>
            <w:r>
              <w:rPr>
                <w:rFonts w:hint="eastAsia" w:ascii="Arial" w:hAnsi="Arial" w:eastAsia="宋体" w:cs="Arial"/>
                <w:color w:val="000000"/>
                <w:szCs w:val="21"/>
                <w:highlight w:val="none"/>
                <w:lang w:eastAsia="zh-CN"/>
              </w:rPr>
              <w:t xml:space="preserve">：泰兴市人民医院 </w:t>
            </w:r>
            <w:r/>
          </w:p>
          <w:p>
            <w:pPr>
              <w:spacing w:line="440" w:lineRule="exact"/>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联系人：刘松林   </w:t>
            </w:r>
            <w:r/>
          </w:p>
          <w:p>
            <w:pPr>
              <w:spacing w:line="440" w:lineRule="exact"/>
              <w:shd w:val="clear" w:color="auto" w:fill="ffffff"/>
              <w:widowControl/>
              <w:rPr>
                <w:rFonts w:hint="eastAsia" w:ascii="Arial" w:hAnsi="Arial" w:eastAsia="宋体" w:cs="Arial"/>
                <w:color w:val="000000"/>
                <w:szCs w:val="21"/>
                <w:highlight w:val="none"/>
                <w:lang w:eastAsia="zh-CN"/>
              </w:rPr>
            </w:pPr>
            <w:r>
              <w:rPr>
                <w:rFonts w:hint="eastAsia" w:ascii="Arial" w:hAnsi="Arial" w:eastAsia="宋体" w:cs="Arial"/>
                <w:color w:val="000000"/>
                <w:szCs w:val="21"/>
                <w:highlight w:val="none"/>
                <w:lang w:val="en-US" w:eastAsia="zh-CN"/>
              </w:rPr>
              <w:t xml:space="preserve">联系方式：0523-87919878  </w:t>
            </w:r>
            <w:r>
              <w:rPr>
                <w:rFonts w:hint="eastAsia" w:ascii="Arial" w:hAnsi="Arial" w:eastAsia="宋体" w:cs="Arial"/>
                <w:color w:val="000000"/>
                <w:szCs w:val="21"/>
                <w:highlight w:val="none"/>
                <w:lang w:eastAsia="zh-CN"/>
              </w:rPr>
              <w:t xml:space="preserve"> </w:t>
            </w:r>
            <w:r/>
          </w:p>
          <w:p>
            <w:pPr>
              <w:spacing w:line="440" w:lineRule="exact"/>
              <w:shd w:val="clear" w:color="auto" w:fill="ffffff"/>
              <w:widowControl/>
              <w:rPr>
                <w:rFonts w:hint="eastAsia" w:ascii="宋体" w:hAnsi="宋体" w:eastAsia="宋体" w:cs="宋体"/>
                <w:b/>
                <w:color w:val="000000"/>
                <w:sz w:val="24"/>
                <w:highlight w:val="none"/>
              </w:rPr>
            </w:pPr>
            <w:r>
              <w:rPr>
                <w:rFonts w:hint="eastAsia" w:ascii="Arial" w:hAnsi="Arial" w:eastAsia="宋体" w:cs="Arial"/>
                <w:color w:val="000000"/>
                <w:szCs w:val="21"/>
                <w:highlight w:val="none"/>
              </w:rPr>
              <w:t xml:space="preserve">地址：</w:t>
            </w:r>
            <w:r>
              <w:rPr>
                <w:rFonts w:hint="eastAsia" w:ascii="宋体" w:hAnsi="宋体" w:eastAsia="宋体" w:cs="宋体"/>
                <w:szCs w:val="21"/>
                <w:highlight w:val="none"/>
              </w:rPr>
              <w:t xml:space="preserve">江苏省泰兴市长征路1号(泰兴市润泰南路98号)</w:t>
            </w:r>
            <w:r>
              <w:rPr>
                <w:rFonts w:hint="eastAsia" w:ascii="宋体" w:hAnsi="宋体" w:eastAsia="宋体" w:cs="宋体"/>
                <w:szCs w:val="21"/>
                <w:highlight w:val="none"/>
                <w:lang w:val="en-US"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采购代理机构：苏美达国际技术贸易有限公司</w:t>
            </w:r>
            <w:r/>
          </w:p>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人：朱志云   </w:t>
            </w:r>
            <w:r/>
          </w:p>
          <w:p>
            <w:pPr>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联系电话：025-84531057</w:t>
            </w:r>
            <w:r>
              <w:rPr>
                <w:rFonts w:hint="eastAsia" w:ascii="宋体" w:hAnsi="宋体" w:eastAsia="宋体" w:cs="宋体"/>
                <w:color w:val="000000"/>
                <w:szCs w:val="21"/>
                <w:highlight w:val="none"/>
                <w:lang w:val="en-US" w:eastAsia="zh-CN"/>
              </w:rPr>
              <w:t xml:space="preserve"> </w:t>
            </w:r>
            <w:r/>
          </w:p>
          <w:p>
            <w:pPr>
              <w:spacing w:line="440" w:lineRule="exact"/>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rPr>
              <w:t xml:space="preserve">联系地址：南京市长江路198号</w:t>
            </w:r>
            <w:r>
              <w:rPr>
                <w:rFonts w:hint="eastAsia" w:ascii="宋体" w:hAnsi="宋体" w:eastAsia="宋体" w:cs="宋体"/>
                <w:color w:val="000000"/>
                <w:szCs w:val="21"/>
                <w:highlight w:val="none"/>
                <w:lang w:val="en-US" w:eastAsia="zh-CN"/>
              </w:rPr>
              <w:t xml:space="preserve">9楼西</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cs="宋体"/>
                <w:color w:val="000000"/>
                <w:szCs w:val="21"/>
                <w:highlight w:val="none"/>
                <w:lang w:eastAsia="zh-CN"/>
              </w:rPr>
              <w:t xml:space="preserve">电子内镜维保（三年）项目</w:t>
            </w:r>
            <w:r>
              <w:rPr>
                <w:rFonts w:hint="eastAsia" w:ascii="宋体" w:hAnsi="宋体" w:eastAsia="宋体" w:cs="宋体"/>
                <w:color w:val="000000"/>
                <w:szCs w:val="21"/>
                <w:highlight w:val="none"/>
              </w:rPr>
              <w:t xml:space="preserve">  </w:t>
            </w:r>
            <w:r/>
          </w:p>
          <w:p>
            <w:pPr>
              <w:spacing w:line="440" w:lineRule="exact"/>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cs="宋体"/>
                <w:color w:val="000000"/>
                <w:szCs w:val="21"/>
                <w:highlight w:val="none"/>
                <w:lang w:eastAsia="zh-CN"/>
              </w:rPr>
              <w:t xml:space="preserve">JSZC-321283-SMDG-G2026-0036</w:t>
            </w:r>
            <w:r>
              <w:rPr>
                <w:rFonts w:hint="eastAsia" w:ascii="宋体" w:hAnsi="宋体" w:eastAsia="宋体" w:cs="宋体"/>
                <w:color w:val="000000"/>
                <w:szCs w:val="21"/>
                <w:highlight w:val="none"/>
                <w:lang w:eastAsia="zh-CN"/>
              </w:rPr>
              <w:t xml:space="preserve"> </w:t>
            </w:r>
            <w:r>
              <w:rPr>
                <w:rFonts w:hint="eastAsia" w:ascii="宋体" w:hAnsi="宋体" w:cs="宋体"/>
                <w:color w:val="000000"/>
                <w:szCs w:val="21"/>
                <w:highlight w:val="none"/>
                <w:lang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采购方式：</w:t>
            </w:r>
            <w:r>
              <w:rPr>
                <w:rFonts w:hint="eastAsia" w:ascii="宋体" w:hAnsi="宋体" w:eastAsia="宋体" w:cs="宋体"/>
                <w:b/>
                <w:bCs/>
                <w:color w:val="000000"/>
                <w:szCs w:val="21"/>
                <w:highlight w:val="none"/>
              </w:rPr>
              <w:t xml:space="preserve">公开招标</w:t>
            </w:r>
            <w:r>
              <w:rPr>
                <w:rFonts w:hint="eastAsia" w:ascii="宋体" w:hAnsi="宋体" w:eastAsia="宋体" w:cs="宋体"/>
                <w:b/>
                <w:bCs/>
                <w:color w:val="000000"/>
                <w:szCs w:val="21"/>
                <w:highlight w:val="none"/>
                <w:lang w:val="en-US"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投标有效期</w:t>
            </w:r>
            <w:r>
              <w:rPr>
                <w:rFonts w:hint="eastAsia" w:ascii="宋体" w:hAnsi="宋体" w:eastAsia="宋体" w:cs="宋体"/>
                <w:color w:val="000000"/>
                <w:szCs w:val="21"/>
                <w:highlight w:val="none"/>
              </w:rPr>
              <w:t xml:space="preserve">：开标之日起90天</w:t>
            </w:r>
            <w:r>
              <w:rPr>
                <w:rFonts w:hint="eastAsia" w:ascii="宋体" w:hAnsi="宋体" w:eastAsia="宋体" w:cs="宋体"/>
                <w:color w:val="000000"/>
                <w:szCs w:val="21"/>
                <w:highlight w:val="none"/>
                <w:lang w:val="en-US" w:eastAsia="zh-CN"/>
              </w:rPr>
              <w:t xml:space="preserve"> </w:t>
            </w:r>
            <w:r/>
          </w:p>
        </w:tc>
      </w:tr>
      <w:tr>
        <w:trPr>
          <w:trHeight w:val="475"/>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投标保证金：本项目无需缴纳投标保证金</w:t>
            </w:r>
            <w:r/>
          </w:p>
        </w:tc>
      </w:tr>
      <w:tr>
        <w:trPr>
          <w:trHeight w:val="559"/>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w:t>
            </w:r>
            <w:r/>
          </w:p>
        </w:tc>
        <w:tc>
          <w:tcPr>
            <w:tcW w:w="8928" w:type="dxa"/>
            <w:vAlign w:val="center"/>
            <w:textDirection w:val="lrTb"/>
            <w:noWrap w:val="false"/>
          </w:tcPr>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投标文件接收截止时间：202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3</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lang w:val="en-US" w:eastAsia="zh-CN" w:bidi="ar-SA"/>
              </w:rPr>
              <w:t xml:space="preserve">（北京时间） </w:t>
            </w:r>
            <w:r/>
          </w:p>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开标时间：202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3</w:t>
            </w:r>
            <w:r>
              <w:rPr>
                <w:rFonts w:hint="eastAsia" w:ascii="宋体" w:hAnsi="宋体" w:eastAsia="宋体" w:cs="宋体"/>
                <w:sz w:val="21"/>
                <w:szCs w:val="20"/>
                <w:highlight w:val="none"/>
                <w:lang w:val="en-US" w:eastAsia="zh-CN" w:bidi="ar-SA"/>
              </w:rPr>
              <w:t xml:space="preserve">日</w:t>
            </w:r>
            <w:bookmarkStart w:id="133" w:name="_GoBack"/>
            <w:r/>
            <w:bookmarkEnd w:id="133"/>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lang w:val="en-US" w:eastAsia="zh-CN" w:bidi="ar-SA"/>
              </w:rPr>
              <w:t xml:space="preserve">（北京时间）</w:t>
            </w:r>
            <w:r/>
          </w:p>
          <w:p>
            <w:pPr>
              <w:jc w:val="left"/>
              <w:spacing w:line="440" w:lineRule="exact"/>
              <w:rPr>
                <w:rFonts w:hint="eastAsia" w:ascii="宋体" w:hAnsi="宋体" w:eastAsia="宋体" w:cs="宋体"/>
                <w:color w:val="000000"/>
                <w:szCs w:val="21"/>
                <w:highlight w:val="none"/>
              </w:rPr>
            </w:pPr>
            <w:r>
              <w:rPr>
                <w:rFonts w:hint="eastAsia" w:ascii="宋体" w:hAnsi="宋体" w:eastAsia="宋体" w:cs="宋体"/>
                <w:sz w:val="21"/>
                <w:szCs w:val="20"/>
                <w:highlight w:val="none"/>
                <w:lang w:val="en-US" w:eastAsia="zh-CN" w:bidi="ar-SA"/>
              </w:rPr>
              <w:t xml:space="preserve">地点：“苏采云”政府采购交易系统网上开标大厅</w:t>
            </w:r>
            <w:r/>
          </w:p>
        </w:tc>
      </w:tr>
      <w:tr>
        <w:trPr>
          <w:trHeight w:val="39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w:t>
            </w:r>
            <w:r/>
          </w:p>
        </w:tc>
        <w:tc>
          <w:tcPr>
            <w:tcW w:w="8928" w:type="dxa"/>
            <w:vAlign w:val="center"/>
            <w:textDirection w:val="lrTb"/>
            <w:noWrap w:val="false"/>
          </w:tcPr>
          <w:p>
            <w:pPr>
              <w:spacing w:line="440" w:lineRule="exact"/>
              <w:rPr>
                <w:rFonts w:hint="eastAsia" w:ascii="宋体" w:hAnsi="宋体" w:eastAsia="宋体" w:cs="宋体"/>
                <w:highlight w:val="none"/>
              </w:rPr>
            </w:pPr>
            <w:r>
              <w:rPr>
                <w:rFonts w:hint="eastAsia" w:ascii="宋体" w:hAnsi="宋体" w:eastAsia="宋体" w:cs="宋体"/>
                <w:b/>
                <w:bCs/>
                <w:color w:val="000000"/>
                <w:szCs w:val="21"/>
                <w:highlight w:val="none"/>
              </w:rPr>
              <w:t xml:space="preserve">投标报价：</w:t>
            </w:r>
            <w:r>
              <w:rPr>
                <w:rFonts w:hint="eastAsia" w:ascii="宋体" w:hAnsi="宋体" w:eastAsia="宋体" w:cs="宋体"/>
                <w:b/>
                <w:bCs/>
                <w:highlight w:val="none"/>
              </w:rPr>
              <w:t xml:space="preserve">所有投标响应均以人民币报价</w:t>
            </w:r>
            <w:r>
              <w:rPr>
                <w:rFonts w:hint="eastAsia" w:ascii="宋体" w:hAnsi="宋体" w:eastAsia="宋体" w:cs="宋体"/>
                <w:highlight w:val="none"/>
              </w:rPr>
              <w:t xml:space="preserve">。</w:t>
            </w:r>
            <w:r/>
          </w:p>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1、投标报价</w:t>
            </w:r>
            <w:r>
              <w:rPr>
                <w:rFonts w:hint="eastAsia" w:ascii="宋体" w:hAnsi="宋体" w:cs="宋体"/>
                <w:sz w:val="21"/>
                <w:szCs w:val="20"/>
                <w:highlight w:val="none"/>
                <w:lang w:val="en-US" w:eastAsia="zh-CN" w:bidi="ar-SA"/>
              </w:rPr>
              <w:t xml:space="preserve">应包括</w:t>
            </w:r>
            <w:r>
              <w:rPr>
                <w:rFonts w:hint="eastAsia" w:ascii="宋体" w:hAnsi="宋体" w:eastAsia="宋体" w:cs="宋体"/>
                <w:sz w:val="21"/>
                <w:szCs w:val="20"/>
                <w:highlight w:val="none"/>
                <w:lang w:val="en-US" w:eastAsia="zh-CN" w:bidi="ar-SA"/>
              </w:rPr>
              <w:t xml:space="preserve">完成招标文件规定的维修保养工作所涉及到的一切相关费用。</w:t>
            </w:r>
            <w:r/>
          </w:p>
          <w:p>
            <w:pPr>
              <w:jc w:val="left"/>
              <w:spacing w:line="440" w:lineRule="exact"/>
              <w:rPr>
                <w:rFonts w:hint="eastAsia" w:ascii="宋体" w:hAnsi="宋体" w:eastAsia="宋体" w:cs="宋体"/>
                <w:highlight w:val="none"/>
              </w:rPr>
            </w:pPr>
            <w:r>
              <w:rPr>
                <w:rFonts w:hint="eastAsia" w:ascii="宋体" w:hAnsi="宋体" w:eastAsia="宋体" w:cs="宋体"/>
                <w:sz w:val="21"/>
                <w:szCs w:val="20"/>
                <w:highlight w:val="none"/>
                <w:lang w:val="en-US" w:eastAsia="zh-CN" w:bidi="ar-SA"/>
              </w:rPr>
              <w:t xml:space="preserve">2、供应商报价时应充分考虑所有可能影响到报价的价格因素，一旦投标结束最终成交，价格不予调整。如发生漏、缺、少项，都将被认为是供应商的报价让利行为，损失自负。</w:t>
            </w:r>
            <w:r/>
          </w:p>
        </w:tc>
      </w:tr>
      <w:tr>
        <w:trPr>
          <w:trHeight w:val="5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w:t>
            </w:r>
            <w:r/>
          </w:p>
        </w:tc>
        <w:tc>
          <w:tcPr>
            <w:tcW w:w="8928" w:type="dxa"/>
            <w:vAlign w:val="center"/>
            <w:textDirection w:val="lrTb"/>
            <w:noWrap w:val="false"/>
          </w:tcPr>
          <w:p>
            <w:pPr>
              <w:ind w:firstLine="15"/>
              <w:spacing w:line="440" w:lineRule="exact"/>
              <w:rPr>
                <w:rFonts w:hint="eastAsia" w:ascii="宋体" w:hAnsi="宋体" w:eastAsia="宋体" w:cs="宋体"/>
                <w:bCs/>
                <w:color w:val="000000"/>
                <w:highlight w:val="none"/>
              </w:rPr>
            </w:pPr>
            <w:r>
              <w:rPr>
                <w:rFonts w:hint="eastAsia" w:ascii="宋体" w:hAnsi="宋体" w:eastAsia="宋体" w:cs="宋体"/>
                <w:b/>
                <w:color w:val="000000"/>
                <w:highlight w:val="none"/>
              </w:rPr>
              <w:t xml:space="preserve">现场勘查要求：本项目不组织</w:t>
            </w:r>
            <w:r>
              <w:rPr>
                <w:rFonts w:hint="eastAsia" w:ascii="宋体" w:hAnsi="宋体" w:eastAsia="宋体" w:cs="宋体"/>
                <w:highlight w:val="none"/>
              </w:rPr>
              <w:t xml:space="preserve">。</w:t>
            </w:r>
            <w:r>
              <w:rPr>
                <w:rFonts w:hint="eastAsia" w:ascii="宋体" w:hAnsi="宋体" w:eastAsia="宋体" w:cs="宋体"/>
                <w:b/>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投标报价中的投标价不得超过招标公告、招标文件规定的</w:t>
            </w:r>
            <w:r>
              <w:rPr>
                <w:rFonts w:hint="eastAsia" w:ascii="宋体" w:hAnsi="宋体" w:cs="宋体"/>
                <w:b/>
                <w:bCs/>
                <w:color w:val="000000"/>
                <w:szCs w:val="21"/>
                <w:highlight w:val="none"/>
                <w:lang w:val="en-US" w:eastAsia="zh-CN"/>
              </w:rPr>
              <w:t xml:space="preserve">最高限价</w:t>
            </w:r>
            <w:r>
              <w:rPr>
                <w:rFonts w:hint="eastAsia" w:ascii="宋体" w:hAnsi="宋体" w:eastAsia="宋体" w:cs="宋体"/>
                <w:b/>
                <w:bCs/>
                <w:color w:val="000000"/>
                <w:szCs w:val="21"/>
                <w:highlight w:val="none"/>
              </w:rPr>
              <w:t xml:space="preserve">，超过规定的</w:t>
            </w:r>
            <w:r>
              <w:rPr>
                <w:rFonts w:hint="eastAsia" w:ascii="宋体" w:hAnsi="宋体" w:cs="宋体"/>
                <w:b/>
                <w:bCs/>
                <w:color w:val="000000"/>
                <w:szCs w:val="21"/>
                <w:highlight w:val="none"/>
                <w:lang w:val="en-US" w:eastAsia="zh-CN"/>
              </w:rPr>
              <w:t xml:space="preserve">最高限价</w:t>
            </w:r>
            <w:r>
              <w:rPr>
                <w:rFonts w:hint="eastAsia" w:ascii="宋体" w:hAnsi="宋体" w:eastAsia="宋体" w:cs="宋体"/>
                <w:b/>
                <w:bCs/>
                <w:color w:val="000000"/>
                <w:szCs w:val="21"/>
                <w:highlight w:val="none"/>
              </w:rPr>
              <w:t xml:space="preserve">的投标文件，按无效投标处理。 </w:t>
            </w:r>
            <w:r/>
          </w:p>
        </w:tc>
      </w:tr>
    </w:tbl>
    <w:p>
      <w:pPr>
        <w:ind w:firstLine="420"/>
        <w:spacing w:line="360" w:lineRule="auto"/>
        <w:shd w:val="clear" w:color="auto" w:fill="ffffff"/>
        <w:widowControl/>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b/>
          <w:bCs/>
          <w:color w:val="000000"/>
          <w:sz w:val="24"/>
          <w:highlight w:val="none"/>
        </w:rPr>
        <w:t xml:space="preserve"> </w:t>
      </w:r>
      <w:bookmarkStart w:id="26" w:name="_Toc19726"/>
      <w:r/>
      <w:bookmarkStart w:id="27" w:name="_Toc8539"/>
      <w:r>
        <w:rPr>
          <w:rFonts w:hint="eastAsia" w:ascii="宋体" w:hAnsi="宋体" w:eastAsia="宋体" w:cs="宋体"/>
          <w:b/>
          <w:bCs/>
          <w:color w:val="000000"/>
          <w:szCs w:val="21"/>
          <w:highlight w:val="none"/>
        </w:rPr>
        <w:t xml:space="preserve">一、总 则</w:t>
      </w:r>
      <w:bookmarkEnd w:id="26"/>
      <w:r/>
      <w:bookmarkEnd w:id="27"/>
      <w:r/>
      <w:r/>
    </w:p>
    <w:p>
      <w:pPr>
        <w:ind w:firstLine="420"/>
        <w:spacing w:line="360" w:lineRule="auto"/>
        <w:rPr>
          <w:rFonts w:hint="eastAsia" w:ascii="宋体" w:hAnsi="宋体" w:eastAsia="宋体" w:cs="宋体"/>
          <w:b/>
          <w:szCs w:val="21"/>
          <w:highlight w:val="none"/>
          <w:lang w:val="zh-CN"/>
        </w:rPr>
        <w:outlineLvl w:val="2"/>
      </w:pPr>
      <w:r/>
      <w:bookmarkStart w:id="28" w:name="_Toc3951"/>
      <w:r/>
      <w:bookmarkStart w:id="29" w:name="_Toc30044"/>
      <w:r/>
      <w:bookmarkStart w:id="30" w:name="_Toc16938520"/>
      <w:r/>
      <w:bookmarkStart w:id="31" w:name="_Toc513029204"/>
      <w:r/>
      <w:bookmarkStart w:id="32" w:name="_Toc458694821"/>
      <w:r/>
      <w:bookmarkStart w:id="33" w:name="_Toc24947"/>
      <w:r/>
      <w:bookmarkStart w:id="34" w:name="_Toc20823276"/>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28"/>
      <w:r/>
      <w:bookmarkEnd w:id="29"/>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35" w:name="_Toc10994"/>
      <w:r/>
      <w:bookmarkStart w:id="36"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szCs w:val="21"/>
          <w:highlight w:val="none"/>
        </w:rPr>
        <w:t xml:space="preserve">中采购代理机构为 </w:t>
      </w:r>
      <w:r>
        <w:rPr>
          <w:rFonts w:hint="eastAsia" w:ascii="宋体" w:hAnsi="宋体" w:eastAsia="宋体" w:cs="宋体"/>
          <w:b/>
          <w:color w:val="000000"/>
          <w:szCs w:val="21"/>
          <w:highlight w:val="none"/>
          <w:u w:val="single"/>
        </w:rPr>
        <w:t xml:space="preserve">苏美达国际技术贸易有限公司</w:t>
      </w:r>
      <w:r>
        <w:rPr>
          <w:rFonts w:hint="eastAsia" w:ascii="宋体" w:hAnsi="宋体" w:eastAsia="宋体" w:cs="宋体"/>
          <w:bCs/>
          <w:color w:val="000000"/>
          <w:szCs w:val="21"/>
          <w:highlight w:val="none"/>
        </w:rPr>
        <w:t xml:space="preserve">；采购人为</w:t>
      </w:r>
      <w:r>
        <w:rPr>
          <w:rFonts w:hint="eastAsia" w:ascii="宋体" w:hAnsi="宋体" w:cs="宋体"/>
          <w:b/>
          <w:color w:val="000000"/>
          <w:szCs w:val="21"/>
          <w:highlight w:val="none"/>
          <w:u w:val="single"/>
          <w:lang w:eastAsia="zh-CN"/>
        </w:rPr>
        <w:t xml:space="preserve"> 泰兴市人民医院</w:t>
      </w:r>
      <w:r>
        <w:rPr>
          <w:rFonts w:hint="eastAsia" w:ascii="宋体" w:hAnsi="宋体" w:eastAsia="宋体" w:cs="宋体"/>
          <w:b/>
          <w:color w:val="000000"/>
          <w:szCs w:val="21"/>
          <w:highlight w:val="none"/>
          <w:u w:val="single"/>
        </w:rPr>
        <w:t xml:space="preserve"> </w:t>
      </w:r>
      <w:r>
        <w:rPr>
          <w:rFonts w:hint="eastAsia" w:ascii="宋体" w:hAnsi="宋体" w:eastAsia="宋体" w:cs="宋体"/>
          <w:bCs/>
          <w:color w:val="000000"/>
          <w:szCs w:val="21"/>
          <w:highlight w:val="none"/>
        </w:rPr>
        <w:t xml:space="preserve">；投标人（亦称供应商）系指参加投标竞争并满足招标文件资格要求规定的法人、其他组织或者自然人。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2.2“货物和服务”指本文件中所述产品及相关货物和服务。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szCs w:val="21"/>
          <w:highlight w:val="none"/>
        </w:rPr>
        <w:t xml:space="preserve">单位。</w:t>
      </w:r>
      <w:r/>
    </w:p>
    <w:p>
      <w:pPr>
        <w:ind w:firstLine="422"/>
        <w:spacing w:line="360" w:lineRule="auto"/>
        <w:rPr>
          <w:rFonts w:hint="eastAsia" w:ascii="宋体" w:hAnsi="宋体" w:eastAsia="宋体" w:cs="宋体"/>
          <w:b/>
          <w:szCs w:val="21"/>
          <w:highlight w:val="none"/>
          <w:lang w:val="zh-CN"/>
        </w:rPr>
        <w:outlineLvl w:val="2"/>
      </w:pPr>
      <w:r/>
      <w:bookmarkStart w:id="37" w:name="_Toc25880"/>
      <w:r/>
      <w:bookmarkStart w:id="38" w:name="_Toc18001"/>
      <w:r>
        <w:rPr>
          <w:rFonts w:hint="eastAsia" w:ascii="宋体" w:hAnsi="宋体" w:eastAsia="宋体" w:cs="宋体"/>
          <w:b/>
          <w:szCs w:val="21"/>
          <w:highlight w:val="none"/>
        </w:rPr>
        <w:t xml:space="preserve">3.</w:t>
      </w:r>
      <w:r>
        <w:rPr>
          <w:rFonts w:hint="eastAsia" w:ascii="宋体" w:hAnsi="宋体" w:eastAsia="宋体" w:cs="宋体"/>
          <w:b/>
          <w:szCs w:val="21"/>
          <w:highlight w:val="none"/>
          <w:lang w:val="zh-CN"/>
        </w:rPr>
        <w:t xml:space="preserve">政策功能</w:t>
      </w:r>
      <w:bookmarkEnd w:id="37"/>
      <w:r/>
      <w:bookmarkEnd w:id="38"/>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3.1线上融资</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3.2中小企业、监狱和戒毒企业及残疾人福利性单位</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（2）在工程采购项目中，工程由中小企业承建，即工程施工单位为中小企业；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3.3节能产品、信息安全产品、环境标志产品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3.4进口产品政策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3.4.2允许进口产品参加的，满足需求的国内产品可以参加。</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3.5绿色采购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3.5.2涉及</w:t>
      </w:r>
      <w:r>
        <w:rPr>
          <w:rFonts w:hint="eastAsia" w:ascii="宋体" w:hAnsi="宋体" w:eastAsia="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3.6创新产品采购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3.7网络产品、市场准入类产品采购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eastAsia="宋体" w:cs="宋体"/>
          <w:szCs w:val="21"/>
          <w:highlight w:val="none"/>
          <w:lang w:val="en-US" w:eastAsia="zh-CN"/>
        </w:rPr>
        <w:t xml:space="preserve">已</w:t>
      </w:r>
      <w:r>
        <w:rPr>
          <w:rFonts w:hint="eastAsia" w:ascii="宋体" w:hAnsi="宋体" w:eastAsia="宋体" w:cs="宋体"/>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落实政府采购领域数字人民币政策</w:t>
      </w:r>
      <w:r/>
    </w:p>
    <w:p>
      <w:pPr>
        <w:ind w:firstLine="480"/>
        <w:spacing w:line="360" w:lineRule="auto"/>
        <w:rPr>
          <w:rFonts w:hint="eastAsia" w:ascii="宋体" w:hAnsi="宋体" w:eastAsia="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eastAsia="宋体" w:cs="宋体"/>
          <w:b/>
          <w:szCs w:val="21"/>
          <w:highlight w:val="none"/>
          <w:lang w:val="zh-CN"/>
        </w:rPr>
      </w:pPr>
      <w:r>
        <w:rPr>
          <w:rFonts w:hint="eastAsia" w:ascii="宋体" w:hAnsi="宋体" w:eastAsia="宋体" w:cs="宋体"/>
          <w:b/>
          <w:bCs/>
          <w:szCs w:val="21"/>
          <w:highlight w:val="none"/>
        </w:rPr>
        <w:t xml:space="preserve">注：未按要求提供相关材料的，不享受相关政策。</w:t>
      </w:r>
      <w:r/>
    </w:p>
    <w:p>
      <w:pPr>
        <w:ind w:firstLine="420"/>
        <w:spacing w:line="360" w:lineRule="auto"/>
        <w:rPr>
          <w:rFonts w:hint="eastAsia" w:ascii="宋体" w:hAnsi="宋体" w:eastAsia="宋体" w:cs="宋体"/>
          <w:b/>
          <w:szCs w:val="21"/>
          <w:highlight w:val="none"/>
          <w:lang w:val="zh-CN"/>
        </w:rPr>
        <w:outlineLvl w:val="2"/>
      </w:pPr>
      <w:r/>
      <w:bookmarkStart w:id="39" w:name="_Toc16938523"/>
      <w:r/>
      <w:bookmarkStart w:id="40" w:name="_Toc25651"/>
      <w:r/>
      <w:bookmarkStart w:id="41" w:name="_Toc20823279"/>
      <w:r/>
      <w:bookmarkStart w:id="42" w:name="_Toc17711"/>
      <w:r/>
      <w:bookmarkStart w:id="43" w:name="_Toc4759"/>
      <w:r/>
      <w:bookmarkStart w:id="44" w:name="_Toc513029207"/>
      <w:r/>
      <w:bookmarkStart w:id="45" w:name="_Toc462564067"/>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szCs w:val="21"/>
          <w:highlight w:val="none"/>
          <w:lang w:val="zh-CN"/>
        </w:rPr>
        <w:outlineLvl w:val="2"/>
      </w:pPr>
      <w:r/>
      <w:bookmarkStart w:id="46" w:name="_Toc344"/>
      <w:r/>
      <w:bookmarkStart w:id="47" w:name="_Toc2547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46"/>
      <w:r/>
      <w:bookmarkEnd w:id="47"/>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eastAsia="宋体" w:cs="宋体"/>
          <w:b/>
          <w:bCs/>
          <w:color w:val="000000"/>
          <w:szCs w:val="21"/>
          <w:highlight w:val="none"/>
          <w:lang w:val="en-US" w:eastAsia="zh-CN"/>
        </w:rPr>
        <w:outlineLvl w:val="1"/>
      </w:pPr>
      <w:r/>
      <w:bookmarkStart w:id="48" w:name="_Toc120614215"/>
      <w:r/>
      <w:bookmarkStart w:id="49" w:name="_Toc15035"/>
      <w:r/>
      <w:bookmarkStart w:id="50" w:name="_Toc16938525"/>
      <w:r/>
      <w:bookmarkStart w:id="51" w:name="_Toc11232"/>
      <w:r/>
      <w:bookmarkStart w:id="52" w:name="_Toc513029209"/>
      <w:r/>
      <w:bookmarkStart w:id="53" w:name="_Toc20823281"/>
      <w:r>
        <w:rPr>
          <w:rFonts w:hint="eastAsia" w:ascii="宋体" w:hAnsi="宋体" w:eastAsia="宋体" w:cs="宋体"/>
          <w:b/>
          <w:bCs/>
          <w:color w:val="000000"/>
          <w:szCs w:val="21"/>
          <w:highlight w:val="none"/>
        </w:rPr>
        <w:t xml:space="preserve">二、招标文件</w:t>
      </w:r>
      <w:bookmarkEnd w:id="48"/>
      <w:r/>
      <w:bookmarkEnd w:id="49"/>
      <w:r/>
      <w:bookmarkEnd w:id="50"/>
      <w:r/>
      <w:bookmarkEnd w:id="51"/>
      <w:r/>
      <w:bookmarkEnd w:id="52"/>
      <w:r/>
      <w:bookmarkEnd w:id="53"/>
      <w:r>
        <w:rPr>
          <w:rFonts w:hint="eastAsia" w:ascii="宋体" w:hAnsi="宋体" w:eastAsia="宋体" w:cs="宋体"/>
          <w:b/>
          <w:bCs/>
          <w:color w:val="000000"/>
          <w:szCs w:val="21"/>
          <w:highlight w:val="none"/>
          <w:lang w:val="en-US" w:eastAsia="zh-CN"/>
        </w:rPr>
        <w:t xml:space="preserve"> </w:t>
      </w:r>
      <w:r/>
    </w:p>
    <w:p>
      <w:pPr>
        <w:ind w:firstLine="420"/>
        <w:spacing w:line="360" w:lineRule="auto"/>
        <w:rPr>
          <w:rFonts w:hint="eastAsia" w:ascii="宋体" w:hAnsi="宋体" w:eastAsia="宋体" w:cs="宋体"/>
          <w:b/>
          <w:szCs w:val="21"/>
          <w:highlight w:val="none"/>
          <w:lang w:val="zh-CN"/>
        </w:rPr>
        <w:outlineLvl w:val="2"/>
      </w:pPr>
      <w:r/>
      <w:bookmarkStart w:id="54" w:name="_Toc31631"/>
      <w:r/>
      <w:bookmarkStart w:id="55" w:name="_Toc20823282"/>
      <w:r/>
      <w:bookmarkStart w:id="56" w:name="_Toc16938526"/>
      <w:r/>
      <w:bookmarkStart w:id="57" w:name="_Toc2899"/>
      <w:r/>
      <w:bookmarkStart w:id="58" w:name="_Toc513029210"/>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54"/>
      <w:r/>
      <w:bookmarkEnd w:id="55"/>
      <w:r/>
      <w:bookmarkEnd w:id="56"/>
      <w:r/>
      <w:bookmarkEnd w:id="57"/>
      <w:r/>
      <w:bookmarkEnd w:id="58"/>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采购需求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投标文件格式及附件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w:t>
      </w:r>
      <w:r>
        <w:rPr>
          <w:rFonts w:hint="eastAsia" w:ascii="宋体" w:hAnsi="宋体" w:eastAsia="宋体" w:cs="宋体"/>
          <w:b/>
          <w:bCs/>
          <w:color w:val="000000"/>
          <w:szCs w:val="21"/>
          <w:highlight w:val="none"/>
          <w:lang w:eastAsia="zh-CN"/>
        </w:rPr>
        <w:t xml:space="preserve">采购需求</w:t>
      </w:r>
      <w:r>
        <w:rPr>
          <w:rFonts w:hint="eastAsia" w:ascii="宋体" w:hAnsi="宋体" w:eastAsia="宋体" w:cs="宋体"/>
          <w:b/>
          <w:bCs/>
          <w:color w:val="000000"/>
          <w:szCs w:val="21"/>
          <w:highlight w:val="none"/>
        </w:rPr>
        <w:t xml:space="preserve">中未分包的，供应商对要求提供的服务不得部分投标；</w:t>
      </w:r>
      <w:r>
        <w:rPr>
          <w:rFonts w:hint="eastAsia" w:ascii="宋体" w:hAnsi="宋体" w:eastAsia="宋体" w:cs="宋体"/>
          <w:b/>
          <w:bCs/>
          <w:color w:val="000000"/>
          <w:szCs w:val="21"/>
          <w:highlight w:val="none"/>
          <w:lang w:eastAsia="zh-CN"/>
        </w:rPr>
        <w:t xml:space="preserve">采购需求</w:t>
      </w:r>
      <w:r>
        <w:rPr>
          <w:rFonts w:hint="eastAsia" w:ascii="宋体" w:hAnsi="宋体" w:eastAsia="宋体" w:cs="宋体"/>
          <w:b/>
          <w:bCs/>
          <w:color w:val="000000"/>
          <w:szCs w:val="21"/>
          <w:highlight w:val="none"/>
        </w:rPr>
        <w:t xml:space="preserve">中已经分包的，以包为单位投标</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1123"/>
        <w:ind w:left="0" w:firstLine="422"/>
        <w:jc w:val="both"/>
        <w:spacing w:line="360" w:lineRule="auto"/>
        <w:rPr>
          <w:rFonts w:hint="eastAsia" w:ascii="宋体" w:hAnsi="宋体" w:eastAsia="宋体" w:cs="宋体"/>
          <w:b/>
          <w:bCs/>
          <w:color w:val="000000"/>
          <w:sz w:val="21"/>
          <w:szCs w:val="21"/>
          <w:highlight w:val="none"/>
        </w:rPr>
      </w:pPr>
      <w:r/>
      <w:bookmarkStart w:id="59" w:name="_Toc14415"/>
      <w:r/>
      <w:bookmarkStart w:id="60" w:name="_Toc24838"/>
      <w:r>
        <w:rPr>
          <w:rFonts w:hint="eastAsia" w:ascii="宋体" w:hAnsi="宋体" w:eastAsia="宋体" w:cs="宋体"/>
          <w:b/>
          <w:bCs/>
          <w:color w:val="000000"/>
          <w:sz w:val="21"/>
          <w:szCs w:val="21"/>
          <w:highlight w:val="none"/>
        </w:rPr>
        <w:t xml:space="preserve">7.招标文件的澄清、补充或修改</w:t>
      </w:r>
      <w:bookmarkEnd w:id="59"/>
      <w:r/>
      <w:bookmarkEnd w:id="60"/>
      <w:r/>
      <w:r/>
    </w:p>
    <w:p>
      <w:pPr>
        <w:ind w:firstLine="441"/>
        <w:spacing w:line="360" w:lineRule="auto"/>
        <w:rPr>
          <w:rFonts w:hint="eastAsia" w:ascii="宋体" w:hAnsi="宋体" w:eastAsia="宋体" w:cs="宋体"/>
          <w:szCs w:val="21"/>
          <w:highlight w:val="none"/>
        </w:rPr>
      </w:pPr>
      <w:r/>
      <w:bookmarkStart w:id="61" w:name="_Toc29128"/>
      <w:r>
        <w:rPr>
          <w:rFonts w:hint="eastAsia" w:ascii="宋体" w:hAnsi="宋体" w:eastAsia="宋体" w:cs="宋体"/>
          <w:color w:val="000000"/>
          <w:szCs w:val="21"/>
          <w:highlight w:val="none"/>
        </w:rPr>
        <w:t xml:space="preserve">7.1</w:t>
      </w:r>
      <w:r>
        <w:rPr>
          <w:rFonts w:hint="eastAsia" w:ascii="宋体" w:hAnsi="宋体" w:eastAsia="宋体" w:cs="宋体"/>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szCs w:val="21"/>
          <w:highlight w:val="none"/>
        </w:rPr>
        <w:t xml:space="preserve">采购代理机构对已发出的招标文件进行必要的澄清或者修改，将在投标截止时间15日前，在原招标公告媒体公布。不足15日的，采购人或者采购代理机构应当顺延提交投标文件的截止时间。</w:t>
      </w:r>
      <w:r/>
    </w:p>
    <w:p>
      <w:pPr>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7.4</w:t>
      </w:r>
      <w:r>
        <w:rPr>
          <w:rFonts w:hint="eastAsia" w:ascii="宋体" w:hAnsi="宋体" w:eastAsia="宋体" w:cs="宋体"/>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hint="eastAsia" w:ascii="宋体" w:hAnsi="宋体" w:eastAsia="宋体" w:cs="宋体"/>
          <w:b/>
          <w:bCs/>
          <w:szCs w:val="21"/>
          <w:highlight w:val="none"/>
        </w:rPr>
        <w:outlineLvl w:val="1"/>
      </w:pPr>
      <w:r/>
      <w:bookmarkStart w:id="62" w:name="_Toc27318"/>
      <w:r>
        <w:rPr>
          <w:rFonts w:hint="eastAsia" w:ascii="宋体" w:hAnsi="宋体" w:eastAsia="宋体" w:cs="宋体"/>
          <w:b/>
          <w:bCs/>
          <w:szCs w:val="21"/>
          <w:highlight w:val="none"/>
        </w:rPr>
        <w:t xml:space="preserve">三、投标文件的编制</w:t>
      </w:r>
      <w:bookmarkEnd w:id="61"/>
      <w:r/>
      <w:bookmarkEnd w:id="62"/>
      <w:r/>
      <w:r/>
    </w:p>
    <w:p>
      <w:pPr>
        <w:pStyle w:val="1123"/>
        <w:ind w:left="0" w:firstLine="422"/>
        <w:jc w:val="both"/>
        <w:spacing w:line="360" w:lineRule="auto"/>
        <w:rPr>
          <w:rFonts w:hint="eastAsia" w:ascii="宋体" w:hAnsi="宋体" w:eastAsia="宋体" w:cs="宋体"/>
          <w:b/>
          <w:bCs/>
          <w:sz w:val="21"/>
          <w:szCs w:val="21"/>
          <w:highlight w:val="none"/>
        </w:rPr>
      </w:pPr>
      <w:r/>
      <w:bookmarkStart w:id="63" w:name="_Toc28127"/>
      <w:r/>
      <w:bookmarkStart w:id="64" w:name="_Toc14460"/>
      <w:r>
        <w:rPr>
          <w:rFonts w:hint="eastAsia" w:ascii="宋体" w:hAnsi="宋体" w:eastAsia="宋体" w:cs="宋体"/>
          <w:b/>
          <w:bCs/>
          <w:sz w:val="21"/>
          <w:szCs w:val="21"/>
          <w:highlight w:val="none"/>
        </w:rPr>
        <w:t xml:space="preserve">8.</w:t>
      </w:r>
      <w:bookmarkEnd w:id="63"/>
      <w:r>
        <w:rPr>
          <w:rFonts w:hint="eastAsia" w:ascii="宋体" w:hAnsi="宋体" w:eastAsia="宋体" w:cs="宋体"/>
          <w:b/>
          <w:bCs/>
          <w:sz w:val="21"/>
          <w:szCs w:val="21"/>
          <w:highlight w:val="none"/>
        </w:rPr>
        <w:t xml:space="preserve">投标文件的语言、计量单位、货币</w:t>
      </w:r>
      <w:bookmarkEnd w:id="64"/>
      <w:r/>
      <w:r/>
    </w:p>
    <w:p>
      <w:pPr>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eastAsia="宋体" w:cs="宋体"/>
          <w:szCs w:val="21"/>
          <w:highlight w:val="none"/>
        </w:rPr>
      </w:pPr>
      <w:r/>
      <w:bookmarkStart w:id="65"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pStyle w:val="1123"/>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 所有投标响应报价具体详见投标人须知前附表。</w:t>
      </w:r>
      <w:r/>
    </w:p>
    <w:p>
      <w:pPr>
        <w:pStyle w:val="1123"/>
        <w:ind w:left="0" w:firstLine="422"/>
        <w:jc w:val="both"/>
        <w:spacing w:line="360" w:lineRule="auto"/>
        <w:rPr>
          <w:rFonts w:hint="eastAsia" w:ascii="宋体" w:hAnsi="宋体" w:eastAsia="宋体" w:cs="宋体"/>
          <w:sz w:val="21"/>
          <w:szCs w:val="21"/>
          <w:highlight w:val="none"/>
          <w:lang w:val="zh-CN"/>
        </w:rPr>
      </w:pPr>
      <w:r/>
      <w:bookmarkStart w:id="66" w:name="_Toc11547"/>
      <w:r/>
      <w:bookmarkStart w:id="67" w:name="_Toc30894"/>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联合体（根据采购项目是否接受联合体投标而定）</w:t>
      </w:r>
      <w:bookmarkEnd w:id="66"/>
      <w:r/>
      <w:bookmarkEnd w:id="67"/>
      <w:r/>
      <w:r/>
    </w:p>
    <w:p>
      <w:pPr>
        <w:pStyle w:val="1123"/>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9.1两个以上的自然人、法人或者其他组织可以组成一个联合体，以一个供应商的身份共同参加政府采购。</w:t>
      </w:r>
      <w:r/>
    </w:p>
    <w:p>
      <w:pPr>
        <w:pStyle w:val="1123"/>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9.5 以联合体形式参加政府采购活动的，联合体各方不得再单独参加或者与其他供应商另外组成联合体参加同一合同项下的政府采购活动。</w:t>
      </w:r>
      <w:bookmarkEnd w:id="65"/>
      <w:r/>
      <w:r/>
    </w:p>
    <w:p>
      <w:pPr>
        <w:ind w:firstLine="420"/>
        <w:spacing w:line="360" w:lineRule="auto"/>
        <w:shd w:val="clear" w:color="auto" w:fill="ffffff"/>
        <w:widowControl/>
        <w:rPr>
          <w:rFonts w:hint="eastAsia" w:ascii="宋体" w:hAnsi="宋体" w:eastAsia="宋体" w:cs="宋体"/>
          <w:b/>
          <w:bCs/>
          <w:szCs w:val="21"/>
          <w:highlight w:val="none"/>
        </w:rPr>
      </w:pPr>
      <w:r/>
      <w:bookmarkStart w:id="68" w:name="_Toc22790"/>
      <w:r/>
      <w:bookmarkStart w:id="69" w:name="_Toc6681"/>
      <w:r>
        <w:rPr>
          <w:rFonts w:hint="eastAsia" w:ascii="宋体" w:hAnsi="宋体" w:eastAsia="宋体" w:cs="宋体"/>
          <w:b/>
          <w:bCs/>
          <w:szCs w:val="21"/>
          <w:highlight w:val="none"/>
        </w:rPr>
        <w:t xml:space="preserve">10.投标文件的</w:t>
      </w:r>
      <w:bookmarkEnd w:id="68"/>
      <w:r>
        <w:rPr>
          <w:rFonts w:hint="eastAsia" w:ascii="宋体" w:hAnsi="宋体" w:eastAsia="宋体" w:cs="宋体"/>
          <w:b/>
          <w:bCs/>
          <w:szCs w:val="21"/>
          <w:highlight w:val="none"/>
        </w:rPr>
        <w:t xml:space="preserve">组成</w:t>
      </w:r>
      <w:bookmarkEnd w:id="69"/>
      <w:r>
        <w:rPr>
          <w:rFonts w:hint="eastAsia" w:ascii="宋体" w:hAnsi="宋体" w:eastAsia="宋体" w:cs="宋体"/>
          <w:b/>
          <w:bCs/>
          <w:szCs w:val="21"/>
          <w:highlight w:val="none"/>
        </w:rPr>
        <w:t xml:space="preserve">（相应内容上传至投标客户端，并签电子公章）：</w:t>
      </w:r>
      <w:r/>
    </w:p>
    <w:p>
      <w:pPr>
        <w:ind w:firstLine="420"/>
        <w:spacing w:line="360" w:lineRule="auto"/>
        <w:shd w:val="clear" w:color="auto" w:fill="ffffff"/>
        <w:widowControl/>
        <w:rPr>
          <w:rFonts w:hint="eastAsia" w:ascii="宋体" w:hAnsi="宋体" w:eastAsia="宋体" w:cs="宋体"/>
          <w:szCs w:val="21"/>
          <w:highlight w:val="none"/>
        </w:rPr>
      </w:pPr>
      <w:r/>
      <w:bookmarkStart w:id="70" w:name="_Hlk529436144"/>
      <w:r/>
      <w:bookmarkStart w:id="71" w:name="_Hlk6917373"/>
      <w:r/>
      <w:bookmarkStart w:id="72" w:name="_Hlk525992732"/>
      <w:r>
        <w:rPr>
          <w:rFonts w:hint="eastAsia" w:ascii="宋体" w:hAnsi="宋体" w:eastAsia="宋体" w:cs="宋体"/>
          <w:szCs w:val="21"/>
          <w:highlight w:val="none"/>
        </w:rPr>
        <w:t xml:space="preserve">10.1.投标函（格式见附件）；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10.2.资格证明文件：</w:t>
      </w:r>
      <w:r/>
    </w:p>
    <w:p>
      <w:pPr>
        <w:ind w:firstLine="420"/>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（1）投标人合法有效的法人的营业执照扫描件，或事业单位法人证书扫描件，或民办非企业单位登记证书扫描件；</w:t>
      </w:r>
      <w:r/>
    </w:p>
    <w:p>
      <w:pPr>
        <w:ind w:firstLine="420"/>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（2）投标人本项目开标时间前6个月内任何1个月的资产负债表、利润表或提供投标人近两年度任一年度的财务报告或开标时间前6个月内银行出具的资信证明；</w:t>
      </w:r>
      <w:r/>
    </w:p>
    <w:p>
      <w:pPr>
        <w:ind w:firstLine="420"/>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ind w:firstLine="420"/>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（4）具备履行合同所必需的设备和专业技术能力的证明材料或承诺书 (</w:t>
      </w:r>
      <w:r>
        <w:rPr>
          <w:rFonts w:hint="eastAsia" w:ascii="宋体" w:hAnsi="宋体" w:eastAsia="宋体" w:cs="宋体"/>
          <w:szCs w:val="21"/>
          <w:highlight w:val="none"/>
        </w:rPr>
        <w:t xml:space="preserve">格式见附件）</w:t>
      </w:r>
      <w:r>
        <w:rPr>
          <w:rFonts w:hint="eastAsia" w:ascii="宋体" w:hAnsi="宋体" w:eastAsia="宋体" w:cs="宋体"/>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（5）投标人参加政府采购活动前3年内在经营活动中没有重大违法记录的书面声明（</w:t>
      </w:r>
      <w:r>
        <w:rPr>
          <w:rFonts w:hint="eastAsia" w:ascii="宋体" w:hAnsi="宋体" w:eastAsia="宋体" w:cs="宋体"/>
          <w:szCs w:val="21"/>
          <w:highlight w:val="none"/>
        </w:rPr>
        <w:t xml:space="preserve">格式见附件）</w:t>
      </w:r>
      <w:r>
        <w:rPr>
          <w:rFonts w:hint="eastAsia" w:ascii="宋体" w:hAnsi="宋体" w:eastAsia="宋体" w:cs="宋体"/>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）投标人法定代表人授权委托书扫描件（法定代表人亲自参与投标的除外，格式见附件）；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）投标人法定代表人身份证（正、反面）扫描件；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）投标人法定代表人授权代表身份证（正、反面）扫描件（法定代表人亲自参加投标的除外）；</w:t>
      </w:r>
      <w:bookmarkStart w:id="73" w:name="_Hlk39128912"/>
      <w:r/>
      <w:bookmarkEnd w:id="73"/>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10.3.开标一览表（格式见附件）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10.4.细目报价表（格式见附件）</w:t>
      </w:r>
      <w:bookmarkEnd w:id="70"/>
      <w:r/>
      <w:bookmarkEnd w:id="71"/>
      <w:r/>
      <w:bookmarkEnd w:id="72"/>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采购需求偏离响应表</w:t>
      </w:r>
      <w:r>
        <w:rPr>
          <w:rFonts w:hint="eastAsia" w:ascii="宋体" w:hAnsi="宋体" w:eastAsia="宋体" w:cs="宋体"/>
          <w:szCs w:val="21"/>
          <w:highlight w:val="none"/>
        </w:rPr>
        <w:t xml:space="preserve">（格式见附件）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项目</w:t>
      </w:r>
      <w:r>
        <w:rPr>
          <w:rFonts w:hint="eastAsia" w:ascii="宋体" w:hAnsi="宋体" w:eastAsia="宋体" w:cs="宋体"/>
          <w:szCs w:val="21"/>
          <w:highlight w:val="none"/>
        </w:rPr>
        <w:t xml:space="preserve">方案等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.评分标准中对应的所需证明材料（如有自行添加）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.要求采购人提供的配合（如有自拟并自行添加）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.其它（投标人认为有必要提供的声明和文件，如有自拟并自行添加）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（1）投标供应商简介和经营情况说明；（格式见附件）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（2）如是小微企业的，提供《中小企业声明函》；（格式见附件）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（3）残疾人福利性单位声明函；（供应商为残疾人福利性单位的提供，格式见附件）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（4）由省级以上监狱管理局、戒毒管理局出具的属于监狱企业的证明文件；（如适用）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上述10.1-10.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其他部分由供应商根据编制投标文件需要提供的其他相关文件。</w:t>
      </w:r>
      <w:r/>
    </w:p>
    <w:p>
      <w:pPr>
        <w:pStyle w:val="1123"/>
        <w:ind w:left="0" w:firstLine="422"/>
        <w:jc w:val="both"/>
        <w:spacing w:line="360" w:lineRule="auto"/>
        <w:rPr>
          <w:rFonts w:hint="eastAsia" w:ascii="宋体" w:hAnsi="宋体" w:eastAsia="宋体" w:cs="宋体"/>
          <w:b/>
          <w:bCs/>
          <w:color w:val="000000"/>
          <w:sz w:val="21"/>
          <w:szCs w:val="21"/>
          <w:highlight w:val="none"/>
        </w:rPr>
      </w:pPr>
      <w:r/>
      <w:bookmarkStart w:id="74" w:name="_Toc15215"/>
      <w:r/>
      <w:bookmarkStart w:id="75" w:name="_Toc31206"/>
      <w:r>
        <w:rPr>
          <w:rFonts w:hint="eastAsia" w:ascii="宋体" w:hAnsi="宋体" w:eastAsia="宋体" w:cs="宋体"/>
          <w:b/>
          <w:bCs/>
          <w:color w:val="000000"/>
          <w:sz w:val="21"/>
          <w:szCs w:val="21"/>
          <w:highlight w:val="none"/>
        </w:rPr>
        <w:t xml:space="preserve">11.投标文件的有效期</w:t>
      </w:r>
      <w:bookmarkEnd w:id="74"/>
      <w:r/>
      <w:bookmarkEnd w:id="75"/>
      <w:r/>
      <w:r/>
    </w:p>
    <w:p>
      <w:pPr>
        <w:ind w:firstLine="420"/>
        <w:jc w:val="left"/>
        <w:spacing w:line="360" w:lineRule="auto"/>
        <w:rPr>
          <w:rFonts w:hint="eastAsia" w:ascii="宋体" w:hAnsi="宋体" w:eastAsia="宋体" w:cs="宋体"/>
          <w:bCs/>
          <w:szCs w:val="21"/>
          <w:highlight w:val="none"/>
        </w:rPr>
      </w:pPr>
      <w:r/>
      <w:bookmarkStart w:id="76"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123"/>
        <w:ind w:left="0" w:firstLine="422"/>
        <w:jc w:val="both"/>
        <w:spacing w:line="360" w:lineRule="auto"/>
        <w:rPr>
          <w:rFonts w:hint="eastAsia" w:ascii="宋体" w:hAnsi="宋体" w:eastAsia="宋体" w:cs="宋体"/>
          <w:b/>
          <w:bCs/>
          <w:color w:val="000000"/>
          <w:sz w:val="21"/>
          <w:szCs w:val="21"/>
          <w:highlight w:val="none"/>
        </w:rPr>
      </w:pPr>
      <w:r/>
      <w:bookmarkStart w:id="77" w:name="_Toc21944"/>
      <w:r>
        <w:rPr>
          <w:rFonts w:hint="eastAsia" w:ascii="宋体" w:hAnsi="宋体" w:eastAsia="宋体" w:cs="宋体"/>
          <w:b/>
          <w:bCs/>
          <w:color w:val="000000"/>
          <w:sz w:val="21"/>
          <w:szCs w:val="21"/>
          <w:highlight w:val="none"/>
        </w:rPr>
        <w:t xml:space="preserve">12.</w:t>
      </w:r>
      <w:bookmarkEnd w:id="76"/>
      <w:r/>
      <w:bookmarkEnd w:id="77"/>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78" w:name="_Toc27455"/>
      <w:r>
        <w:rPr>
          <w:rFonts w:hint="eastAsia" w:ascii="宋体" w:hAnsi="宋体" w:eastAsia="宋体" w:cs="宋体"/>
          <w:bCs/>
          <w:szCs w:val="21"/>
          <w:highlight w:val="none"/>
        </w:rPr>
        <w:t xml:space="preserve">12.1投标人应由其法定代表人或法定代表人授权代表在规定的网上投标时间，凭 CA 证书</w:t>
      </w:r>
      <w:r>
        <w:rPr>
          <w:rFonts w:hint="eastAsia" w:ascii="宋体" w:hAnsi="宋体" w:eastAsia="宋体" w:cs="宋体"/>
          <w:bCs/>
          <w:szCs w:val="21"/>
          <w:highlight w:val="none"/>
          <w:lang w:val="en-US" w:eastAsia="zh-CN"/>
        </w:rPr>
        <w:t xml:space="preserve">登录</w:t>
      </w:r>
      <w:r>
        <w:rPr>
          <w:rFonts w:hint="eastAsia" w:ascii="宋体" w:hAnsi="宋体" w:eastAsia="宋体" w:cs="宋体"/>
          <w:bCs/>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12.2投标人应对 CA 证书妥善保管，如被他人盗用投标，因此带来的</w:t>
      </w:r>
      <w:r>
        <w:rPr>
          <w:rFonts w:hint="eastAsia" w:ascii="宋体" w:hAnsi="宋体" w:eastAsia="宋体" w:cs="宋体"/>
          <w:bCs/>
          <w:szCs w:val="21"/>
          <w:highlight w:val="none"/>
          <w:lang w:val="en-US" w:eastAsia="zh-CN"/>
        </w:rPr>
        <w:t xml:space="preserve">后果</w:t>
      </w:r>
      <w:r>
        <w:rPr>
          <w:rFonts w:hint="eastAsia" w:ascii="宋体" w:hAnsi="宋体" w:eastAsia="宋体" w:cs="宋体"/>
          <w:bCs/>
          <w:szCs w:val="21"/>
          <w:highlight w:val="none"/>
        </w:rPr>
        <w:t xml:space="preserve">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79" w:name="_Toc9506"/>
      <w:r>
        <w:rPr>
          <w:rFonts w:hint="eastAsia" w:ascii="宋体" w:hAnsi="宋体" w:eastAsia="宋体" w:cs="宋体"/>
          <w:b/>
          <w:bCs/>
          <w:color w:val="000000"/>
          <w:szCs w:val="21"/>
          <w:highlight w:val="none"/>
        </w:rPr>
        <w:t xml:space="preserve">四、投标文件的递交</w:t>
      </w:r>
      <w:bookmarkEnd w:id="78"/>
      <w:r/>
      <w:bookmarkEnd w:id="79"/>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0" w:name="_Toc513029225"/>
      <w:r/>
      <w:bookmarkStart w:id="81" w:name="_Toc16938541"/>
      <w:r/>
      <w:bookmarkStart w:id="82" w:name="_Toc20823297"/>
      <w:r/>
      <w:bookmarkStart w:id="83" w:name="_Toc462564084"/>
      <w:r>
        <w:rPr>
          <w:rFonts w:hint="eastAsia" w:ascii="宋体" w:hAnsi="宋体" w:eastAsia="宋体" w:cs="宋体"/>
          <w:b/>
          <w:bCs/>
          <w:color w:val="000000"/>
          <w:szCs w:val="21"/>
          <w:highlight w:val="none"/>
        </w:rPr>
        <w:t xml:space="preserve">13.电子投标文件</w:t>
      </w:r>
      <w:bookmarkEnd w:id="80"/>
      <w:r/>
      <w:bookmarkEnd w:id="81"/>
      <w:r/>
      <w:bookmarkEnd w:id="82"/>
      <w:r/>
      <w:bookmarkEnd w:id="83"/>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14.投标截止日期</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6" w:name="_Toc16938543"/>
      <w:r/>
      <w:bookmarkStart w:id="87" w:name="_Toc513029227"/>
      <w:r/>
      <w:bookmarkStart w:id="88" w:name="_Toc20823299"/>
      <w:r>
        <w:rPr>
          <w:rFonts w:hint="eastAsia" w:ascii="宋体" w:hAnsi="宋体" w:eastAsia="宋体" w:cs="宋体"/>
          <w:b/>
          <w:bCs/>
          <w:color w:val="000000"/>
          <w:szCs w:val="21"/>
          <w:highlight w:val="none"/>
        </w:rPr>
        <w:t xml:space="preserve">15.投标文件</w:t>
      </w:r>
      <w:bookmarkEnd w:id="86"/>
      <w:r/>
      <w:bookmarkEnd w:id="87"/>
      <w:r/>
      <w:bookmarkEnd w:id="88"/>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16938544"/>
      <w:r/>
      <w:bookmarkStart w:id="90" w:name="_Toc513029228"/>
      <w:r/>
      <w:bookmarkStart w:id="91" w:name="_Toc20823300"/>
      <w:r>
        <w:rPr>
          <w:rFonts w:hint="eastAsia" w:ascii="宋体" w:hAnsi="宋体" w:eastAsia="宋体" w:cs="宋体"/>
          <w:b/>
          <w:bCs/>
          <w:color w:val="000000"/>
          <w:szCs w:val="21"/>
          <w:highlight w:val="none"/>
        </w:rPr>
        <w:t xml:space="preserve">16.投标文件的撤回和修改</w:t>
      </w:r>
      <w:bookmarkEnd w:id="89"/>
      <w:r/>
      <w:bookmarkEnd w:id="90"/>
      <w:r/>
      <w:bookmarkEnd w:id="91"/>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 投标文件的撤回</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16.1.1 电子投标文件的撤回</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 投标文件的修改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1123"/>
        <w:ind w:left="0" w:firstLine="422"/>
        <w:jc w:val="both"/>
        <w:spacing w:line="360" w:lineRule="auto"/>
        <w:rPr>
          <w:rFonts w:hint="eastAsia" w:ascii="宋体" w:hAnsi="宋体" w:eastAsia="宋体" w:cs="宋体"/>
          <w:b/>
          <w:bCs/>
          <w:color w:val="000000"/>
          <w:sz w:val="21"/>
          <w:szCs w:val="21"/>
          <w:highlight w:val="none"/>
        </w:rPr>
      </w:pPr>
      <w:r/>
      <w:bookmarkStart w:id="92" w:name="_Toc15345"/>
      <w:r/>
      <w:bookmarkStart w:id="93" w:name="_Toc13829"/>
      <w:r/>
      <w:bookmarkStart w:id="94" w:name="_Toc20683"/>
      <w:r/>
      <w:bookmarkStart w:id="95" w:name="_Toc3679"/>
      <w:r/>
      <w:bookmarkStart w:id="96" w:name="OLE_LINK7"/>
      <w:r/>
      <w:bookmarkStart w:id="97" w:name="OLE_LINK3"/>
      <w:r/>
      <w:bookmarkStart w:id="98" w:name="_Toc6944"/>
      <w:r>
        <w:rPr>
          <w:rFonts w:hint="eastAsia" w:ascii="宋体" w:hAnsi="宋体" w:eastAsia="宋体" w:cs="宋体"/>
          <w:b/>
          <w:bCs/>
          <w:color w:val="000000"/>
          <w:sz w:val="21"/>
          <w:szCs w:val="21"/>
          <w:highlight w:val="none"/>
        </w:rPr>
        <w:t xml:space="preserve">17.开标</w:t>
      </w:r>
      <w:bookmarkEnd w:id="92"/>
      <w:r/>
      <w:bookmarkEnd w:id="93"/>
      <w:r/>
      <w:bookmarkEnd w:id="94"/>
      <w:r/>
      <w:bookmarkEnd w:id="95"/>
      <w:r/>
      <w:bookmarkEnd w:id="96"/>
      <w:r/>
      <w:bookmarkEnd w:id="97"/>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17.2由电子招标投标交易平台主持，邀请投标人参加。</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98"/>
      <w:r/>
      <w:bookmarkStart w:id="99" w:name="_Toc30296"/>
      <w:r/>
      <w:bookmarkStart w:id="100" w:name="_Toc16938547"/>
      <w:r/>
      <w:bookmarkStart w:id="101" w:name="_Toc513029231"/>
      <w:r/>
      <w:bookmarkStart w:id="102" w:name="_Toc20823303"/>
      <w:r/>
      <w:bookmarkStart w:id="103" w:name="_Toc29284"/>
      <w:r>
        <w:rPr>
          <w:rFonts w:hint="eastAsia" w:ascii="宋体" w:hAnsi="宋体" w:eastAsia="宋体" w:cs="宋体"/>
          <w:bCs/>
          <w:szCs w:val="21"/>
          <w:highlight w:val="none"/>
        </w:rPr>
        <w:t xml:space="preserve">通过资格性审查合格的投标人不足3家的，不得评标。</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19.1评标工作由采购代理机构负责组织，具体评标事务由依法组建的评标委员会负责，并独立履行下列职责：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19.2评标委员会由采购人代表和有关技术、经济等方面的专家组成，独立开展评审工作且评标委员会人员构成符合有关规定。</w:t>
      </w:r>
      <w:r/>
    </w:p>
    <w:p>
      <w:pPr>
        <w:ind w:firstLine="422"/>
        <w:spacing w:line="360" w:lineRule="auto"/>
        <w:rPr>
          <w:rFonts w:hint="eastAsia" w:ascii="宋体" w:hAnsi="宋体" w:eastAsia="宋体" w:cs="宋体"/>
          <w:b/>
          <w:szCs w:val="21"/>
          <w:highlight w:val="none"/>
        </w:rPr>
      </w:pPr>
      <w:r/>
      <w:bookmarkStart w:id="104" w:name="_Toc16288"/>
      <w:r>
        <w:rPr>
          <w:rFonts w:hint="eastAsia" w:ascii="宋体" w:hAnsi="宋体" w:eastAsia="宋体" w:cs="宋体"/>
          <w:b/>
          <w:szCs w:val="21"/>
          <w:highlight w:val="none"/>
        </w:rPr>
        <w:t xml:space="preserve">19.3 对投标文件的符合性审查</w:t>
      </w:r>
      <w:bookmarkEnd w:id="104"/>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和对招标文件的响应程度（是否存在重大负偏离等）进行审查，以确定是否对招标文件的实质性要求作出响应。实质性要求是指本招标文件中用带星号（“★”）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19.3.3评审过程中出现下列情形之一的，评审委员会应当启动异常低价投标（响应）审查程序： </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19.3.3.3投标（响应）报价低于采购项目最高限价45%的，即投标（响应）报价&lt;采购项目最高限价×45%；</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19.3.3.4评审委员会认定的供应商报价过低、有可能影响产品质量或者不能诚信履约的其他情形。 </w:t>
      </w:r>
      <w:r/>
    </w:p>
    <w:p>
      <w:pPr>
        <w:ind w:firstLine="420"/>
        <w:spacing w:line="360" w:lineRule="auto"/>
        <w:shd w:val="clear" w:color="auto" w:fill="ffffff"/>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评审时，投标文件出现不一致情形的，按下列规定执行：</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投标文件报价出现前后不一致的，按照下列规定修正：</w:t>
      </w:r>
      <w:r>
        <w:rPr>
          <w:rFonts w:hint="eastAsia" w:ascii="宋体" w:hAnsi="宋体" w:eastAsia="宋体" w:cs="宋体"/>
          <w:bCs/>
          <w:szCs w:val="21"/>
          <w:highlight w:val="none"/>
          <w:lang w:val="en-US" w:eastAsia="zh-CN"/>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r/>
    </w:p>
    <w:p>
      <w:pPr>
        <w:pStyle w:val="1123"/>
        <w:ind w:left="0" w:firstLine="422"/>
        <w:jc w:val="both"/>
        <w:spacing w:line="360" w:lineRule="auto"/>
        <w:rPr>
          <w:rFonts w:hint="eastAsia" w:ascii="宋体" w:hAnsi="宋体" w:eastAsia="宋体" w:cs="宋体"/>
          <w:b/>
          <w:bCs/>
          <w:sz w:val="21"/>
          <w:szCs w:val="21"/>
          <w:highlight w:val="none"/>
        </w:rPr>
      </w:pPr>
      <w:r/>
      <w:bookmarkStart w:id="105" w:name="_Toc26857"/>
      <w:r/>
      <w:bookmarkStart w:id="106" w:name="_Toc13685"/>
      <w:r>
        <w:rPr>
          <w:rFonts w:hint="eastAsia" w:ascii="宋体" w:hAnsi="宋体" w:eastAsia="宋体" w:cs="宋体"/>
          <w:b/>
          <w:bCs/>
          <w:sz w:val="21"/>
          <w:szCs w:val="21"/>
          <w:highlight w:val="none"/>
        </w:rPr>
        <w:t xml:space="preserve">19.4投标文件的澄清</w:t>
      </w:r>
      <w:bookmarkEnd w:id="105"/>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推荐资格；评审得分相同的，取技术分最高者；均相同时，由评标委员会集体决定一个供应商获得</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（3）供应商不具备招标文件中规定资格要求的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（11）不同供应商的投标文件相互混装；</w:t>
      </w:r>
      <w:r>
        <w:rPr>
          <w:rFonts w:hint="eastAsia" w:ascii="宋体" w:hAnsi="宋体" w:eastAsia="宋体" w:cs="宋体"/>
          <w:szCs w:val="21"/>
          <w:highlight w:val="none"/>
          <w:lang w:val="en-US" w:eastAsia="zh-CN"/>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（16）未通过符合性检查的；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在评标期间，通过资格审查或符合性审查的投标人不足3家情形的，比照</w:t>
      </w:r>
      <w:r>
        <w:rPr>
          <w:rFonts w:hint="eastAsia" w:ascii="宋体" w:hAnsi="宋体" w:eastAsia="宋体" w:cs="宋体"/>
          <w:b/>
          <w:bCs/>
          <w:szCs w:val="21"/>
          <w:highlight w:val="none"/>
        </w:rPr>
        <w:t xml:space="preserve">19.3.5</w:t>
      </w:r>
      <w:r>
        <w:rPr>
          <w:rFonts w:hint="eastAsia" w:ascii="宋体" w:hAnsi="宋体" w:eastAsia="宋体" w:cs="宋体"/>
          <w:szCs w:val="21"/>
          <w:highlight w:val="none"/>
        </w:rPr>
        <w:t xml:space="preserve">款执行。</w:t>
      </w:r>
      <w:bookmarkEnd w:id="100"/>
      <w:r/>
      <w:bookmarkEnd w:id="101"/>
      <w:r/>
      <w:bookmarkEnd w:id="102"/>
      <w:r/>
      <w:bookmarkEnd w:id="103"/>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107" w:name="_Toc12294"/>
      <w:r/>
      <w:bookmarkStart w:id="108" w:name="_Toc18327"/>
      <w:r>
        <w:rPr>
          <w:rFonts w:hint="eastAsia" w:ascii="宋体" w:hAnsi="宋体" w:eastAsia="宋体" w:cs="宋体"/>
          <w:b/>
          <w:bCs/>
          <w:color w:val="000000"/>
          <w:szCs w:val="21"/>
          <w:highlight w:val="none"/>
        </w:rPr>
        <w:t xml:space="preserve">六、授标</w:t>
      </w:r>
      <w:bookmarkEnd w:id="107"/>
      <w:r/>
      <w:bookmarkEnd w:id="108"/>
      <w:r/>
      <w:r/>
    </w:p>
    <w:p>
      <w:pPr>
        <w:pStyle w:val="1123"/>
        <w:ind w:left="0" w:firstLine="422"/>
        <w:jc w:val="both"/>
        <w:spacing w:line="360" w:lineRule="auto"/>
        <w:rPr>
          <w:rFonts w:hint="eastAsia" w:ascii="宋体" w:hAnsi="宋体" w:eastAsia="宋体" w:cs="宋体"/>
          <w:b/>
          <w:bCs/>
          <w:color w:val="000000"/>
          <w:sz w:val="21"/>
          <w:szCs w:val="21"/>
          <w:highlight w:val="none"/>
          <w:lang w:eastAsia="zh-CN"/>
        </w:rPr>
      </w:pPr>
      <w:r/>
      <w:bookmarkStart w:id="109" w:name="_Toc27522"/>
      <w:r/>
      <w:bookmarkStart w:id="110" w:name="_Toc28693"/>
      <w:r>
        <w:rPr>
          <w:rFonts w:hint="eastAsia" w:ascii="宋体" w:hAnsi="宋体" w:eastAsia="宋体" w:cs="宋体"/>
          <w:b/>
          <w:bCs/>
          <w:color w:val="000000"/>
          <w:sz w:val="21"/>
          <w:szCs w:val="21"/>
          <w:highlight w:val="none"/>
        </w:rPr>
        <w:t xml:space="preserve">20.确定</w:t>
      </w:r>
      <w:bookmarkEnd w:id="109"/>
      <w:r/>
      <w:bookmarkEnd w:id="110"/>
      <w:r/>
      <w:bookmarkStart w:id="111" w:name="_Toc7377"/>
      <w:r>
        <w:rPr>
          <w:rFonts w:hint="eastAsia" w:ascii="宋体" w:hAnsi="宋体" w:eastAsia="宋体" w:cs="宋体"/>
          <w:b/>
          <w:bCs/>
          <w:color w:val="000000"/>
          <w:sz w:val="21"/>
          <w:szCs w:val="21"/>
          <w:highlight w:val="none"/>
          <w:lang w:eastAsia="zh-CN"/>
        </w:rPr>
        <w:t xml:space="preserve">中标人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20.2中标人确定后，在</w:t>
      </w:r>
      <w:r>
        <w:rPr>
          <w:rFonts w:hint="eastAsia" w:ascii="宋体" w:hAnsi="宋体" w:eastAsia="宋体" w:cs="宋体"/>
          <w:szCs w:val="21"/>
          <w:highlight w:val="none"/>
          <w:lang w:eastAsia="zh-CN"/>
        </w:rPr>
        <w:t xml:space="preserve">江苏政府采购网</w:t>
      </w:r>
      <w:r>
        <w:rPr>
          <w:rFonts w:hint="eastAsia" w:ascii="宋体" w:hAnsi="宋体" w:eastAsia="宋体" w:cs="宋体"/>
          <w:szCs w:val="21"/>
          <w:highlight w:val="none"/>
        </w:rPr>
        <w:t xml:space="preserve">上公告中标结果，中标公告期为1个工作日，公告的同时向</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20.3</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在收到中标通知书后，应郑重保证履行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20.4中标通知书对采购人和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投标文件的约定，与</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签订书面合同。所签订的合同不得对招标文件和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因不可抗力或者自身原因不能履行采购合同的，采购人可以与排位在</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22.6 采购人与中标人应当根据合同的约定依法履行合同义务。</w:t>
      </w:r>
      <w:bookmarkEnd w:id="111"/>
      <w:r/>
      <w:r/>
    </w:p>
    <w:p>
      <w:pPr>
        <w:ind w:firstLine="420"/>
        <w:spacing w:line="360" w:lineRule="auto"/>
        <w:shd w:val="clear" w:color="auto" w:fill="ffffff"/>
        <w:widowControl/>
        <w:rPr>
          <w:rFonts w:hint="default" w:ascii="宋体" w:hAnsi="宋体" w:eastAsia="仿宋" w:cs="宋体"/>
          <w:b/>
          <w:bCs/>
          <w:color w:val="000000"/>
          <w:szCs w:val="21"/>
          <w:highlight w:val="none"/>
          <w:lang w:val="en-US" w:eastAsia="zh-CN"/>
        </w:rPr>
      </w:pPr>
      <w:r>
        <w:rPr>
          <w:rFonts w:hint="eastAsia" w:ascii="宋体" w:hAnsi="宋体" w:eastAsia="宋体" w:cs="宋体"/>
          <w:b/>
          <w:bCs/>
          <w:szCs w:val="21"/>
          <w:highlight w:val="none"/>
        </w:rPr>
        <w:t xml:space="preserve">22.7 履约保证金：</w:t>
      </w:r>
      <w:bookmarkStart w:id="112" w:name="_Toc15509"/>
      <w:r/>
      <w:bookmarkStart w:id="113" w:name="_Toc415"/>
      <w:r>
        <w:rPr>
          <w:rFonts w:hint="eastAsia" w:ascii="宋体" w:hAnsi="宋体" w:cs="宋体"/>
          <w:szCs w:val="21"/>
          <w:highlight w:val="none"/>
          <w:lang w:val="en-US" w:eastAsia="zh-CN"/>
        </w:rPr>
        <w:t xml:space="preserve">本项目无需履约保证金</w:t>
      </w:r>
      <w:r>
        <w:rPr>
          <w:rFonts w:hint="eastAsia" w:ascii="宋体" w:hAnsi="宋体" w:eastAsia="宋体" w:cs="宋体"/>
          <w:szCs w:val="21"/>
          <w:highlight w:val="none"/>
          <w:lang w:val="en-US" w:eastAsia="zh-CN"/>
        </w:rPr>
        <w:t xml:space="preserve">。</w:t>
      </w:r>
      <w:r/>
    </w:p>
    <w:p>
      <w:pPr>
        <w:pStyle w:val="1123"/>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112"/>
      <w:r/>
      <w:bookmarkEnd w:id="113"/>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9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w:t>
      </w:r>
      <w:r>
        <w:rPr>
          <w:rFonts w:hint="eastAsia" w:ascii="宋体" w:hAnsi="宋体" w:eastAsia="宋体" w:cs="宋体"/>
          <w:szCs w:val="21"/>
          <w:highlight w:val="none"/>
          <w:lang w:val="en-US" w:eastAsia="zh-CN"/>
        </w:rPr>
        <w:t xml:space="preserve">按原(计价格【2002】1980号)文件规定收费标准</w:t>
      </w:r>
      <w:r>
        <w:rPr>
          <w:rFonts w:hint="eastAsia" w:hAnsi="宋体" w:cs="宋体"/>
          <w:szCs w:val="21"/>
          <w:highlight w:val="none"/>
          <w:lang w:val="en-US" w:eastAsia="zh-CN"/>
        </w:rPr>
        <w:t xml:space="preserve">支付</w:t>
      </w:r>
      <w:r>
        <w:rPr>
          <w:rFonts w:hint="eastAsia" w:ascii="宋体" w:hAnsi="宋体" w:eastAsia="宋体" w:cs="宋体"/>
          <w:szCs w:val="21"/>
          <w:highlight w:val="none"/>
          <w:lang w:val="en-US" w:eastAsia="zh-CN"/>
        </w:rPr>
        <w:t xml:space="preserve">中标服务费。</w:t>
      </w:r>
      <w:r>
        <w:rPr>
          <w:rFonts w:hint="eastAsia" w:ascii="宋体" w:hAnsi="宋体" w:eastAsia="宋体" w:cs="宋体"/>
          <w:szCs w:val="21"/>
          <w:highlight w:val="none"/>
        </w:rPr>
        <w:t xml:space="preserve">各投标供应商应将招标代理服务费自行考虑包含在投标报价中。</w:t>
      </w:r>
      <w:r/>
    </w:p>
    <w:p>
      <w:pPr>
        <w:pStyle w:val="954"/>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     23.3</w:t>
      </w:r>
      <w:r>
        <w:rPr>
          <w:rFonts w:hint="eastAsia" w:ascii="宋体" w:hAnsi="宋体" w:eastAsia="宋体" w:cs="宋体"/>
          <w:szCs w:val="21"/>
          <w:highlight w:val="none"/>
        </w:rPr>
        <w:t xml:space="preserve">服务费交纳账户：苏美达国际技术贸易有限公司</w:t>
      </w:r>
      <w:r/>
    </w:p>
    <w:p>
      <w:pPr>
        <w:pStyle w:val="954"/>
        <w:ind w:firstLine="63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账号：7321010182300013675　　　</w:t>
      </w:r>
      <w:r/>
    </w:p>
    <w:p>
      <w:pPr>
        <w:pStyle w:val="1121"/>
        <w:ind w:firstLine="630"/>
        <w:rPr>
          <w:rFonts w:hint="eastAsia" w:ascii="宋体" w:hAnsi="宋体" w:eastAsia="宋体" w:cs="宋体"/>
          <w:sz w:val="21"/>
          <w:highlight w:val="none"/>
        </w:rPr>
      </w:pPr>
      <w:r>
        <w:rPr>
          <w:rFonts w:hint="eastAsia" w:ascii="宋体" w:hAnsi="宋体" w:eastAsia="宋体" w:cs="宋体"/>
          <w:sz w:val="21"/>
          <w:highlight w:val="none"/>
        </w:rPr>
        <w:t xml:space="preserve">开户银行：中信南京分行营业部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114" w:name="_Toc5784"/>
      <w:r>
        <w:rPr>
          <w:rFonts w:hint="eastAsia" w:ascii="宋体" w:hAnsi="宋体" w:eastAsia="宋体" w:cs="宋体"/>
          <w:b/>
          <w:bCs/>
          <w:color w:val="000000"/>
          <w:szCs w:val="21"/>
          <w:highlight w:val="none"/>
        </w:rPr>
        <w:t xml:space="preserve">七、质疑</w:t>
      </w:r>
      <w:bookmarkEnd w:id="114"/>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3534"/>
        <w:jc w:val="both"/>
        <w:spacing w:line="360" w:lineRule="auto"/>
        <w:rPr>
          <w:rFonts w:hint="eastAsia" w:ascii="宋体" w:hAnsi="宋体" w:eastAsia="宋体" w:cs="宋体"/>
          <w:b/>
          <w:bCs/>
          <w:sz w:val="32"/>
          <w:szCs w:val="32"/>
          <w:highlight w:val="none"/>
        </w:rPr>
      </w:pPr>
      <w:r/>
      <w:bookmarkStart w:id="115" w:name="_Toc668"/>
      <w:r>
        <w:rPr>
          <w:rFonts w:hint="eastAsia" w:ascii="宋体" w:hAnsi="宋体" w:eastAsia="宋体" w:cs="宋体"/>
          <w:b/>
          <w:bCs/>
          <w:sz w:val="32"/>
          <w:szCs w:val="32"/>
          <w:highlight w:val="none"/>
        </w:rPr>
        <w:t xml:space="preserve">第三章 </w:t>
      </w:r>
      <w:bookmarkEnd w:id="115"/>
      <w:r>
        <w:rPr>
          <w:rFonts w:hint="eastAsia" w:ascii="宋体" w:hAnsi="宋体" w:eastAsia="宋体" w:cs="宋体"/>
          <w:b/>
          <w:bCs/>
          <w:sz w:val="32"/>
          <w:szCs w:val="32"/>
          <w:highlight w:val="none"/>
        </w:rPr>
        <w:t xml:space="preserve">评标方法、评分标准</w:t>
      </w:r>
      <w:bookmarkStart w:id="116" w:name="_Toc11059"/>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一、评标办法：</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1、评标方法采用综合评分法。即在投标文件满足招标文件全部实质性要求，且按照评审因素的量化指标评审得分最高的投标人为中标人的评标方法。（保留小数点后2位）</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2、综合评分的主要因素为：价格、技术水平、履约能力、售后服务等，对采购文件的响应程度，以及相应的商务标和技术标比重或者分值等。</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二、政府采购政策执行办法：</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①对小型和微型企业</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②监狱企业视同小型、微型企业，对其</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价格给予10%的扣除，用扣除后的价格参与评审。参加投标的监狱企业，应当</w:t>
      </w:r>
      <w:r>
        <w:rPr>
          <w:rFonts w:hint="eastAsia" w:hAnsi="宋体" w:cs="宋体"/>
          <w:szCs w:val="21"/>
          <w:highlight w:val="none"/>
          <w:lang w:val="en-US" w:eastAsia="zh-CN"/>
        </w:rPr>
        <w:t xml:space="preserve">m</w:t>
      </w:r>
      <w:r>
        <w:rPr>
          <w:rFonts w:hint="eastAsia" w:ascii="宋体" w:hAnsi="宋体" w:eastAsia="宋体" w:cs="宋体"/>
          <w:szCs w:val="21"/>
          <w:highlight w:val="none"/>
        </w:rPr>
        <w:t xml:space="preserve">按照《关于政府采购支持监狱企业发展有关问题的通知》（财库[2014]68号）的规定提供由省级以上监狱管理局、戒毒管理局(含新疆生产建设兵团)出具的属于监狱企业的证明文件扫描件。</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③残疾人福利性单位视同小型、微型企业，对其</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同一投标人，上述三项价格扣除优惠不得重复享受。</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三、评分标准：</w:t>
      </w:r>
      <w:r/>
    </w:p>
    <w:p>
      <w:pPr>
        <w:pStyle w:val="9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本次采购的评标方法采用综合评分法，小数点后保留两位，四舍五入。</w:t>
      </w:r>
      <w:r/>
    </w:p>
    <w:tbl>
      <w:tblPr>
        <w:tblStyle w:val="903"/>
        <w:tblW w:w="970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858"/>
        <w:gridCol w:w="6227"/>
        <w:gridCol w:w="920"/>
      </w:tblGrid>
      <w:tr>
        <w:trPr>
          <w:trHeight w:val="722"/>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序号</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评分因素</w:t>
            </w:r>
            <w:r/>
          </w:p>
        </w:tc>
        <w:tc>
          <w:tcPr>
            <w:tcMar>
              <w:left w:w="108" w:type="dxa"/>
              <w:top w:w="0" w:type="dxa"/>
              <w:right w:w="108" w:type="dxa"/>
              <w:bottom w:w="0" w:type="dxa"/>
            </w:tcMar>
            <w:tcW w:w="622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评审标准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分值</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21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报价</w:t>
            </w:r>
            <w:r/>
          </w:p>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840" w:leader="none"/>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价格分采用低价优先法计算，即满足招标文件要求且投标价格最低的投标报价为评标基准价，其价格分为满分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分。其他投标人的价格分按照下列公式计算，保留小数点后2位：投标报价得分=（评标基准价／投标报价）×</w:t>
            </w:r>
            <w:r>
              <w:rPr>
                <w:rFonts w:hint="eastAsia" w:ascii="宋体" w:hAnsi="宋体" w:eastAsia="宋体" w:cs="宋体"/>
                <w:sz w:val="21"/>
                <w:szCs w:val="21"/>
                <w:highlight w:val="none"/>
                <w:lang w:val="en-US" w:eastAsia="zh-CN"/>
              </w:rPr>
              <w:t xml:space="preserve">20</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20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108" w:type="dxa"/>
              <w:top w:w="0" w:type="dxa"/>
              <w:right w:w="108" w:type="dxa"/>
              <w:bottom w:w="0" w:type="dxa"/>
            </w:tcMar>
            <w:tcW w:w="1858" w:type="dxa"/>
            <w:vAlign w:val="center"/>
            <w:textDirection w:val="lrTb"/>
            <w:noWrap w:val="false"/>
          </w:tcPr>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6"/>
              <w:ind w:left="0" w:firstLine="0"/>
              <w:jc w:val="center"/>
              <w:spacing w:after="0" w:line="24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采购需求响应</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完全满足招标文件采购需求的得满分</w:t>
            </w:r>
            <w:r>
              <w:rPr>
                <w:rFonts w:hint="eastAsia" w:ascii="宋体" w:hAnsi="宋体" w:cs="宋体"/>
                <w:sz w:val="21"/>
                <w:szCs w:val="21"/>
                <w:highlight w:val="none"/>
                <w:lang w:val="en-US" w:eastAsia="zh-CN"/>
              </w:rPr>
              <w:t xml:space="preserve">30分</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要求</w:t>
            </w:r>
            <w:r>
              <w:rPr>
                <w:rFonts w:hint="eastAsia" w:ascii="宋体" w:hAnsi="宋体" w:eastAsia="宋体" w:cs="宋体"/>
                <w:sz w:val="21"/>
                <w:szCs w:val="21"/>
                <w:highlight w:val="none"/>
              </w:rPr>
              <w:t xml:space="preserve">为实质性要求，不得负偏离</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偏离将导致投标被否决</w:t>
            </w:r>
            <w:r>
              <w:rPr>
                <w:rFonts w:hint="eastAsia" w:ascii="宋体" w:hAnsi="宋体" w:eastAsia="宋体" w:cs="宋体"/>
                <w:sz w:val="21"/>
                <w:szCs w:val="21"/>
                <w:highlight w:val="none"/>
              </w:rPr>
              <w:t xml:space="preserve">；▲参数为重点要求，每负偏离一项扣</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分，其余为一般要求，每负偏离一项扣</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分，扣完为止。</w:t>
            </w:r>
            <w:r/>
          </w:p>
          <w:p>
            <w:pPr>
              <w:spacing w:after="0"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注：明确要求提供证明材料的，须按要求在投标文件中提供证明文件等相关材料</w:t>
            </w:r>
            <w:r>
              <w:rPr>
                <w:rFonts w:hint="eastAsia" w:ascii="宋体" w:hAnsi="宋体" w:cs="宋体"/>
                <w:b/>
                <w:bCs/>
                <w:sz w:val="21"/>
                <w:szCs w:val="21"/>
                <w:highlight w:val="none"/>
                <w:lang w:eastAsia="zh-CN"/>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30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p>
        </w:tc>
        <w:tc>
          <w:tcPr>
            <w:tcMar>
              <w:left w:w="108" w:type="dxa"/>
              <w:top w:w="0" w:type="dxa"/>
              <w:right w:w="108" w:type="dxa"/>
              <w:bottom w:w="0" w:type="dxa"/>
            </w:tcMar>
            <w:tcW w:w="1858" w:type="dxa"/>
            <w:vAlign w:val="center"/>
            <w:textDirection w:val="lrTb"/>
            <w:noWrap w:val="false"/>
          </w:tcPr>
          <w:p>
            <w:pPr>
              <w:pStyle w:val="886"/>
              <w:ind w:left="0" w:firstLine="422"/>
              <w:jc w:val="both"/>
              <w:spacing w:after="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维保方案</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根据投标人提供的服务方案、培训方案、质保期外承诺等进行综合评</w:t>
            </w:r>
            <w:r>
              <w:rPr>
                <w:rFonts w:hint="eastAsia" w:ascii="宋体" w:hAnsi="宋体" w:cs="宋体"/>
                <w:sz w:val="21"/>
                <w:szCs w:val="21"/>
                <w:highlight w:val="none"/>
                <w:lang w:val="en-US" w:eastAsia="zh-CN"/>
              </w:rPr>
              <w:t xml:space="preserve">审</w:t>
            </w:r>
            <w:r>
              <w:rPr>
                <w:rFonts w:hint="eastAsia" w:ascii="宋体" w:hAnsi="宋体" w:eastAsia="宋体" w:cs="宋体"/>
                <w:sz w:val="21"/>
                <w:szCs w:val="21"/>
                <w:highlight w:val="none"/>
              </w:rPr>
              <w:t xml:space="preserve">：</w:t>
            </w:r>
            <w:r/>
          </w:p>
          <w:p>
            <w:pPr>
              <w:spacing w:after="0"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可行性高、完整性高、售后及时高效、整机保修方案优秀得7分；</w:t>
            </w:r>
            <w:r/>
          </w:p>
          <w:p>
            <w:pPr>
              <w:spacing w:after="0"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可行性一般，完整性欠佳，服务能力一般得4.5分；</w:t>
            </w:r>
            <w:r/>
          </w:p>
          <w:p>
            <w:pPr>
              <w:spacing w:after="0"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售后可行性低、服务能力较差得2分；</w:t>
            </w:r>
            <w:r/>
          </w:p>
          <w:p>
            <w:pPr>
              <w:spacing w:after="0"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未提供不得分。</w:t>
            </w:r>
            <w:r/>
          </w:p>
          <w:p>
            <w:pPr>
              <w:spacing w:after="0"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p>
          <w:p>
            <w:pPr>
              <w:spacing w:after="0"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服务方案</w:t>
            </w:r>
            <w:r>
              <w:rPr>
                <w:rFonts w:hint="eastAsia" w:ascii="宋体" w:hAnsi="宋体" w:cs="宋体"/>
                <w:b/>
                <w:bCs/>
                <w:sz w:val="21"/>
                <w:szCs w:val="21"/>
                <w:highlight w:val="none"/>
                <w:lang w:val="en-US" w:eastAsia="zh-CN"/>
              </w:rPr>
              <w:t xml:space="preserve">包括但不限于</w:t>
            </w:r>
            <w:r>
              <w:rPr>
                <w:rFonts w:hint="eastAsia" w:ascii="宋体" w:hAnsi="宋体" w:eastAsia="宋体" w:cs="宋体"/>
                <w:b/>
                <w:bCs/>
                <w:sz w:val="21"/>
                <w:szCs w:val="21"/>
                <w:highlight w:val="none"/>
              </w:rPr>
              <w:t xml:space="preserve">服务体系、服务内容、故障解决方案、响应时间、专业技术人员保障及服务电话等</w:t>
            </w:r>
            <w:r>
              <w:rPr>
                <w:rFonts w:hint="eastAsia" w:ascii="宋体" w:hAnsi="宋体" w:eastAsia="宋体" w:cs="宋体"/>
                <w:b/>
                <w:bCs/>
                <w:sz w:val="21"/>
                <w:szCs w:val="21"/>
                <w:highlight w:val="none"/>
                <w:lang w:eastAsia="zh-CN"/>
              </w:rPr>
              <w:t xml:space="preserve">。</w:t>
            </w:r>
            <w:r/>
          </w:p>
          <w:p>
            <w:pPr>
              <w:spacing w:after="0"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投标人投标时提供相应加盖公章售后方案、培训方案和质保期外服务承诺。</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90"/>
        </w:trPr>
        <w:tc>
          <w:tcPr>
            <w:tcMar>
              <w:left w:w="108" w:type="dxa"/>
              <w:top w:w="0" w:type="dxa"/>
              <w:right w:w="108" w:type="dxa"/>
              <w:bottom w:w="0" w:type="dxa"/>
            </w:tcMar>
            <w:tcW w:w="703" w:type="dxa"/>
            <w:vAlign w:val="center"/>
            <w:vMerge w:val="restart"/>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p>
        </w:tc>
        <w:tc>
          <w:tcPr>
            <w:tcMar>
              <w:left w:w="108" w:type="dxa"/>
              <w:top w:w="0" w:type="dxa"/>
              <w:right w:w="108" w:type="dxa"/>
              <w:bottom w:w="0" w:type="dxa"/>
            </w:tcMar>
            <w:tcW w:w="1858" w:type="dxa"/>
            <w:vAlign w:val="center"/>
            <w:vMerge w:val="restart"/>
            <w:textDirection w:val="lrTb"/>
            <w:noWrap w:val="false"/>
          </w:tcPr>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维保</w:t>
            </w:r>
            <w:r>
              <w:rPr>
                <w:rFonts w:hint="eastAsia" w:ascii="宋体" w:hAnsi="宋体" w:eastAsia="宋体" w:cs="宋体"/>
                <w:b/>
                <w:bCs/>
                <w:sz w:val="21"/>
                <w:szCs w:val="21"/>
                <w:highlight w:val="none"/>
              </w:rPr>
              <w:t xml:space="preserve">服务能力</w:t>
            </w:r>
            <w:r/>
          </w:p>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维保服务技术能力：</w:t>
            </w:r>
            <w:r/>
          </w:p>
          <w:p>
            <w:pPr>
              <w:spacing w:after="0" w:line="360" w:lineRule="auto"/>
              <w:tabs>
                <w:tab w:val="left" w:pos="126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具有维保设备原厂培训证书的现场服务工程师（培训证书颁发日期在投标之日起前3年内），提供培训证书扫描件及投标公司为该工程师缴纳的近半年中任意一个月社保记录扫描件。每提供1名现场服务工程师得4分，最多得20分，培训证书原件备查。</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20</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1858" w:type="dxa"/>
            <w:vAlign w:val="center"/>
            <w:vMerge w:val="continue"/>
            <w:textDirection w:val="lrTb"/>
            <w:noWrap w:val="false"/>
          </w:tcPr>
          <w:p>
            <w:pPr>
              <w:pStyle w:val="886"/>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工具配置及零配件储备情况：</w:t>
            </w:r>
            <w:r/>
          </w:p>
          <w:p>
            <w:pPr>
              <w:spacing w:after="0" w:line="360" w:lineRule="auto"/>
              <w:tabs>
                <w:tab w:val="left" w:pos="126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1、投标人具有全套维修工具，并提供适用于本设备型号的相关维修工具图片，提供的得5分，未提供不得分。</w:t>
            </w:r>
            <w:r/>
          </w:p>
          <w:p>
            <w:pPr>
              <w:spacing w:after="0" w:line="360" w:lineRule="auto"/>
              <w:tabs>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投标人在国内设有零备件仓库，提供零备件仓库地址及联系人、联系电话备查，</w:t>
            </w:r>
            <w:r>
              <w:rPr>
                <w:rFonts w:hint="eastAsia" w:ascii="宋体" w:hAnsi="宋体" w:eastAsia="宋体" w:cs="宋体"/>
                <w:sz w:val="21"/>
                <w:szCs w:val="21"/>
                <w:highlight w:val="none"/>
                <w:lang w:val="en-US" w:eastAsia="zh-CN"/>
              </w:rPr>
              <w:t xml:space="preserve">提供得5分</w:t>
            </w:r>
            <w:r>
              <w:rPr>
                <w:rFonts w:hint="eastAsia" w:ascii="宋体" w:hAnsi="宋体" w:eastAsia="宋体" w:cs="宋体"/>
                <w:sz w:val="21"/>
                <w:szCs w:val="21"/>
                <w:highlight w:val="none"/>
              </w:rPr>
              <w:t xml:space="preserve">，未提供或提供的资料不全不得分。</w:t>
            </w:r>
            <w:r/>
          </w:p>
          <w:p>
            <w:pPr>
              <w:spacing w:after="0" w:line="360" w:lineRule="auto"/>
              <w:tabs>
                <w:tab w:val="left" w:pos="1260" w:leader="none"/>
              </w:tabs>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自有仓库须提供仓库不动产产权证（证书上须明确体现投标人名称和面积）；租赁仓库须提供不动产产权证和租赁合同（租赁合同中须明确体现投标人的名称和面积）。投标人如为具备厂家授权的代理商或者与生产厂家签署维修服务合作协议,可使用厂家零件库。</w:t>
            </w:r>
            <w:r>
              <w:rPr>
                <w:rFonts w:hint="eastAsia" w:ascii="宋体" w:hAnsi="宋体" w:eastAsia="宋体" w:cs="宋体"/>
                <w:b/>
                <w:bCs/>
                <w:sz w:val="21"/>
                <w:szCs w:val="21"/>
                <w:highlight w:val="none"/>
                <w:lang w:val="en-US" w:eastAsia="zh-CN"/>
              </w:rPr>
              <w:t xml:space="preserve"> </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10</w:t>
            </w:r>
            <w:r/>
          </w:p>
        </w:tc>
      </w:tr>
      <w:tr>
        <w:trPr>
          <w:trHeight w:val="90"/>
        </w:trPr>
        <w:tc>
          <w:tcPr>
            <w:tcMar>
              <w:left w:w="108" w:type="dxa"/>
              <w:top w:w="0" w:type="dxa"/>
              <w:right w:w="108" w:type="dxa"/>
              <w:bottom w:w="0" w:type="dxa"/>
            </w:tcMar>
            <w:tcW w:w="703" w:type="dxa"/>
            <w:vAlign w:val="center"/>
            <w:vMerge w:val="continue"/>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auto"/>
                <w:sz w:val="21"/>
                <w:szCs w:val="21"/>
                <w:highlight w:val="none"/>
                <w:lang w:val="en-US" w:eastAsia="zh-CN"/>
              </w:rPr>
            </w:r>
            <w:r/>
          </w:p>
        </w:tc>
        <w:tc>
          <w:tcPr>
            <w:tcMar>
              <w:left w:w="108" w:type="dxa"/>
              <w:top w:w="0" w:type="dxa"/>
              <w:right w:w="108" w:type="dxa"/>
              <w:bottom w:w="0" w:type="dxa"/>
            </w:tcMar>
            <w:tcW w:w="1858" w:type="dxa"/>
            <w:vAlign w:val="center"/>
            <w:vMerge w:val="continue"/>
            <w:textDirection w:val="lrTb"/>
            <w:noWrap w:val="false"/>
          </w:tcPr>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rPr>
              <w:t xml:space="preserve">资质证书</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投标人为原生产厂家，或者具备生产厂家的维修授权，或者与生产厂家签署维修服务合作协议的得7分，无上述情况不得分。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r>
            <w:r/>
          </w:p>
          <w:p>
            <w:pPr>
              <w:ind w:left="0" w:right="0" w:firstLine="0"/>
              <w:jc w:val="center"/>
              <w:spacing w:before="0" w:after="0" w:line="240" w:lineRule="auto"/>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r>
            <w:r/>
          </w:p>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p>
        </w:tc>
        <w:tc>
          <w:tcPr>
            <w:tcMar>
              <w:left w:w="108" w:type="dxa"/>
              <w:top w:w="0" w:type="dxa"/>
              <w:right w:w="108" w:type="dxa"/>
              <w:bottom w:w="0" w:type="dxa"/>
            </w:tcMar>
            <w:tcW w:w="1858" w:type="dxa"/>
            <w:vAlign w:val="center"/>
            <w:textDirection w:val="lrTb"/>
            <w:noWrap w:val="false"/>
          </w:tcPr>
          <w:p>
            <w:pPr>
              <w:pStyle w:val="886"/>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业绩</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cs="宋体"/>
                <w:sz w:val="21"/>
                <w:szCs w:val="21"/>
                <w:highlight w:val="none"/>
              </w:rPr>
            </w:pPr>
            <w:r>
              <w:rPr>
                <w:rFonts w:hint="eastAsia" w:ascii="宋体" w:hAnsi="宋体" w:eastAsia="宋体" w:cs="宋体"/>
                <w:sz w:val="21"/>
                <w:szCs w:val="21"/>
                <w:highlight w:val="none"/>
              </w:rPr>
              <w:t xml:space="preserve">投标人具备202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年</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月1日以来（以合同签订时间为准）</w:t>
            </w:r>
            <w:r>
              <w:rPr>
                <w:rFonts w:hint="eastAsia" w:ascii="宋体" w:hAnsi="宋体" w:cs="宋体"/>
                <w:sz w:val="21"/>
                <w:szCs w:val="21"/>
                <w:highlight w:val="none"/>
                <w:lang w:val="en-US" w:eastAsia="zh-CN"/>
              </w:rPr>
              <w:t xml:space="preserve">类似本项目维保的</w:t>
            </w:r>
            <w:r>
              <w:rPr>
                <w:rFonts w:hint="eastAsia" w:ascii="宋体" w:hAnsi="宋体" w:eastAsia="宋体" w:cs="宋体"/>
                <w:sz w:val="21"/>
                <w:szCs w:val="21"/>
                <w:highlight w:val="none"/>
              </w:rPr>
              <w:t xml:space="preserve">业绩，每提供一个得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分。须提供</w:t>
            </w:r>
            <w:r>
              <w:rPr>
                <w:rFonts w:hint="eastAsia" w:ascii="宋体" w:hAnsi="宋体" w:cs="宋体"/>
                <w:sz w:val="21"/>
                <w:szCs w:val="21"/>
                <w:highlight w:val="none"/>
                <w:lang w:val="en-US" w:eastAsia="zh-CN"/>
              </w:rPr>
              <w:t xml:space="preserve">完整的</w:t>
            </w:r>
            <w:r>
              <w:rPr>
                <w:rFonts w:hint="eastAsia" w:ascii="宋体" w:hAnsi="宋体" w:eastAsia="宋体" w:cs="宋体"/>
                <w:sz w:val="21"/>
                <w:szCs w:val="21"/>
                <w:highlight w:val="none"/>
              </w:rPr>
              <w:t xml:space="preserve">合同</w:t>
            </w:r>
            <w:r>
              <w:rPr>
                <w:rFonts w:hint="eastAsia" w:ascii="宋体" w:hAnsi="宋体" w:cs="宋体"/>
                <w:sz w:val="21"/>
                <w:szCs w:val="21"/>
                <w:highlight w:val="none"/>
                <w:lang w:val="en-US" w:eastAsia="zh-CN"/>
              </w:rPr>
              <w:t xml:space="preserve">扫描件。</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6</w:t>
            </w:r>
            <w:r/>
          </w:p>
        </w:tc>
      </w:tr>
      <w:tr>
        <w:trPr>
          <w:trHeight w:val="475"/>
        </w:trPr>
        <w:tc>
          <w:tcPr>
            <w:gridSpan w:val="3"/>
            <w:tcMar>
              <w:left w:w="108" w:type="dxa"/>
              <w:top w:w="0" w:type="dxa"/>
              <w:right w:w="108" w:type="dxa"/>
              <w:bottom w:w="0" w:type="dxa"/>
            </w:tcMar>
            <w:tcW w:w="878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合计</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100</w:t>
            </w:r>
            <w:r/>
          </w:p>
        </w:tc>
      </w:tr>
    </w:tbl>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r/>
    </w:p>
    <w:p>
      <w:pPr>
        <w:pStyle w:val="980"/>
        <w:rPr>
          <w:rFonts w:hint="eastAsia" w:ascii="宋体" w:hAnsi="宋体" w:eastAsia="宋体" w:cs="宋体"/>
          <w:sz w:val="22"/>
          <w:highlight w:val="none"/>
        </w:rPr>
      </w:pPr>
      <w:r>
        <w:rPr>
          <w:rFonts w:hint="eastAsia" w:ascii="宋体" w:hAnsi="宋体" w:eastAsia="宋体" w:cs="宋体"/>
          <w:sz w:val="22"/>
          <w:highlight w:val="none"/>
        </w:rPr>
      </w:r>
      <w:bookmarkEnd w:id="116"/>
      <w:r/>
      <w:r/>
    </w:p>
    <w:p>
      <w:pPr>
        <w:pStyle w:val="980"/>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r>
      <w:r/>
    </w:p>
    <w:p>
      <w:pPr>
        <w:numPr>
          <w:ilvl w:val="0"/>
          <w:numId w:val="5"/>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采购需求</w:t>
      </w:r>
      <w:r/>
    </w:p>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一、</w:t>
      </w:r>
      <w:r>
        <w:rPr>
          <w:rFonts w:hint="eastAsia" w:ascii="宋体" w:hAnsi="宋体" w:eastAsia="宋体" w:cs="宋体"/>
          <w:b/>
          <w:sz w:val="24"/>
          <w:szCs w:val="24"/>
          <w:lang w:eastAsia="zh-CN" w:bidi="en-US"/>
        </w:rPr>
        <w:t xml:space="preserve">维保设备</w:t>
      </w:r>
      <w:r>
        <w:rPr>
          <w:rFonts w:hint="eastAsia" w:ascii="宋体" w:hAnsi="宋体" w:eastAsia="宋体" w:cs="宋体"/>
          <w:b/>
          <w:sz w:val="24"/>
          <w:szCs w:val="24"/>
          <w:lang w:bidi="en-US"/>
        </w:rPr>
        <w:t xml:space="preserve">清单</w:t>
      </w:r>
      <w:r/>
    </w:p>
    <w:tbl>
      <w:tblPr>
        <w:tblStyle w:val="8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54"/>
        <w:gridCol w:w="1954"/>
        <w:gridCol w:w="3502"/>
        <w:gridCol w:w="2441"/>
      </w:tblGrid>
      <w:tr>
        <w:trPr>
          <w:trHeight w:val="454"/>
        </w:trPr>
        <w:tc>
          <w:tcPr>
            <w:shd w:val="clear" w:color="auto" w:fill="auto"/>
            <w:tcW w:w="1698" w:type="dxa"/>
            <w:vAlign w:val="center"/>
            <w:textDirection w:val="lrTb"/>
            <w:noWrap w:val="false"/>
          </w:tcPr>
          <w:p>
            <w:pPr>
              <w:jc w:val="center"/>
              <w:spacing w:before="181" w:line="222"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pacing w:val="-4"/>
                <w:sz w:val="24"/>
                <w:szCs w:val="24"/>
                <w:lang w:val="en-US" w:eastAsia="en-US" w:bidi="ar-SA"/>
              </w:rPr>
              <w:t xml:space="preserve">序号</w:t>
            </w:r>
            <w:r/>
          </w:p>
        </w:tc>
        <w:tc>
          <w:tcPr>
            <w:shd w:val="clear" w:color="auto" w:fill="auto"/>
            <w:tcW w:w="1698" w:type="dxa"/>
            <w:vAlign w:val="center"/>
            <w:textDirection w:val="lrTb"/>
            <w:noWrap w:val="false"/>
          </w:tcPr>
          <w:p>
            <w:pPr>
              <w:jc w:val="center"/>
              <w:spacing w:before="181" w:line="221"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pacing w:val="-4"/>
                <w:sz w:val="24"/>
                <w:szCs w:val="24"/>
                <w:lang w:val="en-US" w:eastAsia="en-US" w:bidi="ar-SA"/>
              </w:rPr>
              <w:t xml:space="preserve">名称</w:t>
            </w:r>
            <w:r/>
          </w:p>
        </w:tc>
        <w:tc>
          <w:tcPr>
            <w:shd w:val="clear" w:color="auto" w:fill="auto"/>
            <w:tcW w:w="3044" w:type="dxa"/>
            <w:vAlign w:val="center"/>
            <w:textDirection w:val="lrTb"/>
            <w:noWrap w:val="false"/>
          </w:tcPr>
          <w:p>
            <w:pPr>
              <w:jc w:val="center"/>
              <w:spacing w:before="180" w:line="224"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pacing w:val="-6"/>
                <w:sz w:val="24"/>
                <w:szCs w:val="24"/>
                <w:lang w:val="en-US" w:eastAsia="en-US" w:bidi="ar-SA"/>
              </w:rPr>
              <w:t xml:space="preserve">型号</w:t>
            </w:r>
            <w:r/>
          </w:p>
        </w:tc>
        <w:tc>
          <w:tcPr>
            <w:shd w:val="clear" w:color="auto" w:fill="auto"/>
            <w:tcW w:w="2122" w:type="dxa"/>
            <w:vAlign w:val="center"/>
            <w:textDirection w:val="lrTb"/>
            <w:noWrap w:val="false"/>
          </w:tcPr>
          <w:p>
            <w:pPr>
              <w:jc w:val="center"/>
              <w:spacing w:before="181" w:line="222"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pacing w:val="-4"/>
                <w:sz w:val="24"/>
                <w:szCs w:val="24"/>
                <w:lang w:val="en-US" w:eastAsia="en-US" w:bidi="ar-SA"/>
              </w:rPr>
              <w:t xml:space="preserve">序列号</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2504298</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2504280</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PCF-Q260AZI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2502742</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GIF-HQ290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2625150</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2624993</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CF-HQ290I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2622985</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2611718</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十二指肠镜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TJF-260V</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2302287</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2522653</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2251299</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2901430</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2202425</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GIF-XQ260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2934674</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GIF-XQ260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2723977</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GIF-XQ260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2723986</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2303474</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CF-H260AI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2500840</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CF-H260AI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2116074</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CF-H260AI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2116075</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CF-H260AL</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2911189</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PCF-Q260AZI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2302134</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支气管镜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2203266</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支气管镜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BF-1T260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2302546</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2926735</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GIF-H260Z</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2935565</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GIF-H260Z</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2935567</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2843846</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2843873</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支气管镜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BF-1T260</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2913403</w:t>
            </w:r>
            <w:r/>
          </w:p>
        </w:tc>
      </w:tr>
      <w:tr>
        <w:trPr>
          <w:trHeight w:val="454"/>
        </w:trPr>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十二指肠镜</w:t>
            </w:r>
            <w:r/>
          </w:p>
        </w:tc>
        <w:tc>
          <w:tcPr>
            <w:shd w:val="clear" w:color="auto" w:fill="auto"/>
            <w:tcW w:w="3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JF-260V</w:t>
            </w:r>
            <w:r/>
          </w:p>
        </w:tc>
        <w:tc>
          <w:tcPr>
            <w:shd w:val="clear" w:color="auto" w:fill="auto"/>
            <w:tcW w:w="21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2834977</w:t>
            </w:r>
            <w:r/>
          </w:p>
        </w:tc>
      </w:tr>
    </w:tbl>
    <w:p>
      <w:pPr>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cs="宋体"/>
          <w:b/>
          <w:bCs/>
          <w:spacing w:val="-6"/>
          <w:sz w:val="24"/>
          <w:szCs w:val="24"/>
          <w:lang w:val="en-US" w:eastAsia="zh-CN"/>
        </w:rPr>
      </w:pPr>
      <w:r>
        <w:rPr>
          <w:rFonts w:hint="eastAsia" w:ascii="宋体" w:hAnsi="宋体" w:cs="宋体"/>
          <w:b/>
          <w:bCs/>
          <w:spacing w:val="-6"/>
          <w:sz w:val="24"/>
          <w:szCs w:val="24"/>
          <w:lang w:val="en-US" w:eastAsia="zh-CN"/>
        </w:rPr>
        <w:t xml:space="preserve">二、技术要求</w:t>
      </w:r>
      <w:r/>
    </w:p>
    <w:tbl>
      <w:tblPr>
        <w:tblStyle w:val="1135"/>
        <w:tblW w:w="50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7"/>
        <w:gridCol w:w="8816"/>
      </w:tblGrid>
      <w:tr>
        <w:trPr>
          <w:trHeight w:val="519"/>
        </w:trPr>
        <w:tc>
          <w:tcPr>
            <w:shd w:val="clear" w:color="auto" w:fill="auto"/>
            <w:tcBorders>
              <w:top w:val="single" w:color="000000" w:sz="8" w:space="0"/>
              <w:bottom w:val="single" w:color="000000" w:sz="8" w:space="0"/>
            </w:tcBorders>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8" w:space="0"/>
              <w:bottom w:val="single" w:color="000000" w:sz="8" w:space="0"/>
            </w:tcBorders>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产品（包括所有备件、技术服务、劳务、差旅费用等）出现故障需要维修时送至原厂在国内设立的维修基地，用原厂和原设备型号相关崭新的零件进行维修。</w:t>
            </w:r>
            <w:r/>
          </w:p>
        </w:tc>
      </w:tr>
      <w:tr>
        <w:trPr>
          <w:trHeight w:val="519"/>
        </w:trPr>
        <w:tc>
          <w:tcPr>
            <w:shd w:val="clear" w:color="auto" w:fill="auto"/>
            <w:tcBorders>
              <w:top w:val="single" w:color="000000" w:sz="8" w:space="0"/>
              <w:bottom w:val="single" w:color="000000" w:sz="8" w:space="0"/>
            </w:tcBorders>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2</w:t>
            </w:r>
            <w:r/>
          </w:p>
        </w:tc>
        <w:tc>
          <w:tcPr>
            <w:shd w:val="clear" w:color="auto" w:fill="auto"/>
            <w:tcBorders>
              <w:top w:val="single" w:color="000000" w:sz="8" w:space="0"/>
              <w:bottom w:val="single" w:color="000000" w:sz="8" w:space="0"/>
            </w:tcBorders>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设备发生故障需要返回原厂维修基地进行维修时，中标供应商必须提供适合的可替代故障设备正常使用的原厂内镜备用品给采购人使用；</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3</w:t>
            </w:r>
            <w:r/>
          </w:p>
        </w:tc>
        <w:tc>
          <w:tcPr>
            <w:shd w:val="clear" w:color="auto" w:fill="auto"/>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提供24小时800或400免费维修服务热线，免费提供负责临床科室进行系统升级的维护。</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4</w:t>
            </w:r>
            <w:r/>
          </w:p>
        </w:tc>
        <w:tc>
          <w:tcPr>
            <w:shd w:val="clear" w:color="auto" w:fill="auto"/>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中标供应商须保证在</w:t>
            </w:r>
            <w:r>
              <w:rPr>
                <w:rFonts w:hint="eastAsia" w:ascii="宋体" w:hAnsi="宋体" w:eastAsia="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小时内向采购人提供现场技术支持，并提供每周24小时×7天的电话支持服务。</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▲5</w:t>
            </w:r>
            <w:r/>
          </w:p>
        </w:tc>
        <w:tc>
          <w:tcPr>
            <w:shd w:val="clear" w:color="auto" w:fill="auto"/>
            <w:tcW w:w="4538" w:type="pct"/>
            <w:vAlign w:val="center"/>
            <w:textDirection w:val="lrTb"/>
            <w:noWrap w:val="false"/>
          </w:tcPr>
          <w:p>
            <w:pPr>
              <w:jc w:val="lef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bidi="ar"/>
              </w:rPr>
              <w:t xml:space="preserve">投标人所提供的备件必须是原厂的合格零备件，以满足设备运行要求，不会给设备带来安全隐患。</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6</w:t>
            </w:r>
            <w:r/>
          </w:p>
        </w:tc>
        <w:tc>
          <w:tcPr>
            <w:shd w:val="clear" w:color="auto" w:fill="auto"/>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保证全年工作日开机率达到95%以上，设备维护符合生产厂家标准或相应的国家质量标准的要求。</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7</w:t>
            </w:r>
            <w:r/>
          </w:p>
        </w:tc>
        <w:tc>
          <w:tcPr>
            <w:shd w:val="clear" w:color="auto" w:fill="auto"/>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设备的详细的使用、清洗和保养方法，定期（一年</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次）提供院内培训；并应临床科室的需要提供无偿咨询及培训，出现使用故障及技术问题，中标人须在</w:t>
            </w:r>
            <w:r>
              <w:rPr>
                <w:rFonts w:hint="eastAsia" w:ascii="宋体" w:hAnsi="宋体" w:eastAsia="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小时内到达现场提供支持。</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8</w:t>
            </w:r>
            <w:r/>
          </w:p>
        </w:tc>
        <w:tc>
          <w:tcPr>
            <w:shd w:val="clear" w:color="auto" w:fill="auto"/>
            <w:tcW w:w="453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3"/>
                <w:sz w:val="24"/>
                <w:szCs w:val="24"/>
              </w:rPr>
              <w:t xml:space="preserve">保修期内每年</w:t>
            </w:r>
            <w:r>
              <w:rPr>
                <w:rFonts w:hint="eastAsia" w:ascii="宋体" w:hAnsi="宋体" w:eastAsia="宋体" w:cs="宋体"/>
                <w:spacing w:val="-57"/>
                <w:sz w:val="24"/>
                <w:szCs w:val="24"/>
              </w:rPr>
              <w:t xml:space="preserve"> </w:t>
            </w:r>
            <w:r>
              <w:rPr>
                <w:rFonts w:hint="eastAsia" w:ascii="宋体" w:hAnsi="宋体" w:eastAsia="宋体" w:cs="宋体"/>
                <w:spacing w:val="-3"/>
                <w:sz w:val="24"/>
                <w:szCs w:val="24"/>
              </w:rPr>
              <w:t xml:space="preserve">2</w:t>
            </w:r>
            <w:r>
              <w:rPr>
                <w:rFonts w:hint="eastAsia" w:ascii="宋体" w:hAnsi="宋体" w:eastAsia="宋体" w:cs="宋体"/>
                <w:spacing w:val="-52"/>
                <w:sz w:val="24"/>
                <w:szCs w:val="24"/>
              </w:rPr>
              <w:t xml:space="preserve"> </w:t>
            </w:r>
            <w:r>
              <w:rPr>
                <w:rFonts w:hint="eastAsia" w:ascii="宋体" w:hAnsi="宋体" w:eastAsia="宋体" w:cs="宋体"/>
                <w:spacing w:val="-3"/>
                <w:sz w:val="24"/>
                <w:szCs w:val="24"/>
              </w:rPr>
              <w:t xml:space="preserve">次对内镜周边设备（包含主机）进行免费</w:t>
            </w:r>
            <w:r>
              <w:rPr>
                <w:rFonts w:hint="eastAsia" w:ascii="宋体" w:hAnsi="宋体" w:eastAsia="宋体" w:cs="宋体"/>
                <w:spacing w:val="-4"/>
                <w:sz w:val="24"/>
                <w:szCs w:val="24"/>
              </w:rPr>
              <w:t xml:space="preserve">除尘、</w:t>
            </w:r>
            <w:r>
              <w:rPr>
                <w:rFonts w:hint="eastAsia" w:ascii="宋体" w:hAnsi="宋体" w:eastAsia="宋体" w:cs="宋体"/>
                <w:spacing w:val="-7"/>
                <w:sz w:val="24"/>
                <w:szCs w:val="24"/>
              </w:rPr>
              <w:t xml:space="preserve">清洗、保养服务</w:t>
            </w:r>
            <w:r>
              <w:rPr>
                <w:rFonts w:hint="eastAsia" w:ascii="宋体" w:hAnsi="宋体" w:eastAsia="宋体" w:cs="宋体"/>
                <w:spacing w:val="-7"/>
                <w:sz w:val="24"/>
                <w:szCs w:val="24"/>
                <w:lang w:eastAsia="zh-CN"/>
              </w:rPr>
              <w:t xml:space="preserve">；</w:t>
            </w:r>
            <w:r>
              <w:rPr>
                <w:rFonts w:hint="eastAsia" w:ascii="宋体" w:hAnsi="宋体" w:eastAsia="宋体" w:cs="宋体"/>
                <w:spacing w:val="-2"/>
                <w:sz w:val="24"/>
                <w:szCs w:val="24"/>
              </w:rPr>
              <w:t xml:space="preserve">保修期内每年一次对保修的内镜进行点</w:t>
            </w:r>
            <w:r>
              <w:rPr>
                <w:rFonts w:hint="eastAsia" w:ascii="宋体" w:hAnsi="宋体" w:eastAsia="宋体" w:cs="宋体"/>
                <w:spacing w:val="-3"/>
                <w:sz w:val="24"/>
                <w:szCs w:val="24"/>
              </w:rPr>
              <w:t xml:space="preserve">检。</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shd w:val="clear" w:color="auto" w:fill="auto"/>
            <w:tcW w:w="4538" w:type="pct"/>
            <w:vAlign w:val="center"/>
            <w:textDirection w:val="lrTb"/>
            <w:noWrap w:val="false"/>
          </w:tcPr>
          <w:p>
            <w:pPr>
              <w:jc w:val="left"/>
              <w:widowControl/>
              <w:rPr>
                <w:rFonts w:hint="eastAsia" w:ascii="宋体" w:hAnsi="宋体" w:eastAsia="宋体" w:cs="宋体"/>
                <w:spacing w:val="-3"/>
                <w:sz w:val="24"/>
                <w:szCs w:val="24"/>
              </w:rPr>
            </w:pPr>
            <w:r>
              <w:rPr>
                <w:rFonts w:hint="eastAsia" w:ascii="宋体" w:hAnsi="宋体" w:eastAsia="宋体" w:cs="宋体"/>
                <w:spacing w:val="-5"/>
                <w:sz w:val="24"/>
                <w:szCs w:val="24"/>
              </w:rPr>
              <w:t xml:space="preserve">保证</w:t>
            </w:r>
            <w:r>
              <w:rPr>
                <w:rFonts w:hint="eastAsia" w:ascii="宋体" w:hAnsi="宋体" w:eastAsia="宋体" w:cs="宋体"/>
                <w:spacing w:val="-44"/>
                <w:sz w:val="24"/>
                <w:szCs w:val="24"/>
              </w:rPr>
              <w:t xml:space="preserve"> </w:t>
            </w:r>
            <w:r>
              <w:rPr>
                <w:rFonts w:hint="eastAsia" w:ascii="宋体" w:hAnsi="宋体" w:eastAsia="宋体" w:cs="宋体"/>
                <w:spacing w:val="-5"/>
                <w:sz w:val="24"/>
                <w:szCs w:val="24"/>
              </w:rPr>
              <w:t xml:space="preserve">7</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 xml:space="preserve">个工作日完成小维修，14</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 xml:space="preserve">个工作日完成大维修。</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10</w:t>
            </w:r>
            <w:r/>
          </w:p>
        </w:tc>
        <w:tc>
          <w:tcPr>
            <w:shd w:val="clear" w:color="auto" w:fill="auto"/>
            <w:tcW w:w="4538" w:type="pct"/>
            <w:vAlign w:val="center"/>
            <w:textDirection w:val="lrTb"/>
            <w:noWrap w:val="false"/>
          </w:tcPr>
          <w:p>
            <w:pPr>
              <w:ind w:right="249"/>
              <w:jc w:val="left"/>
              <w:spacing w:before="1" w:line="240" w:lineRule="auto"/>
              <w:rPr>
                <w:rFonts w:hint="eastAsia" w:ascii="宋体" w:hAnsi="宋体" w:eastAsia="宋体" w:cs="宋体"/>
                <w:b/>
                <w:bCs/>
                <w:spacing w:val="-16"/>
                <w:sz w:val="24"/>
                <w:szCs w:val="24"/>
                <w:lang w:val="en-US" w:eastAsia="zh-CN" w:bidi="ar-SA"/>
              </w:rPr>
            </w:pPr>
            <w:r>
              <w:rPr>
                <w:rFonts w:hint="eastAsia" w:ascii="宋体" w:hAnsi="宋体" w:eastAsia="宋体" w:cs="宋体"/>
                <w:spacing w:val="-2"/>
                <w:sz w:val="24"/>
                <w:szCs w:val="24"/>
              </w:rPr>
              <w:t xml:space="preserve">包含</w:t>
            </w:r>
            <w:r>
              <w:rPr>
                <w:rFonts w:hint="eastAsia" w:ascii="宋体" w:hAnsi="宋体" w:eastAsia="宋体" w:cs="宋体"/>
                <w:spacing w:val="-2"/>
                <w:sz w:val="24"/>
                <w:szCs w:val="24"/>
              </w:rPr>
              <w:t xml:space="preserve">氙灯光源灯泡</w:t>
            </w:r>
            <w:r>
              <w:rPr>
                <w:rFonts w:hint="eastAsia" w:ascii="宋体" w:hAnsi="宋体" w:eastAsia="宋体" w:cs="宋体"/>
                <w:spacing w:val="-47"/>
                <w:sz w:val="24"/>
                <w:szCs w:val="24"/>
              </w:rPr>
              <w:t xml:space="preserve"> </w:t>
            </w:r>
            <w:r>
              <w:rPr>
                <w:rFonts w:hint="eastAsia" w:ascii="宋体" w:hAnsi="宋体" w:eastAsia="宋体" w:cs="宋体"/>
                <w:spacing w:val="-2"/>
                <w:sz w:val="24"/>
                <w:szCs w:val="24"/>
              </w:rPr>
              <w:t xml:space="preserve">一只</w:t>
            </w:r>
            <w:r>
              <w:rPr>
                <w:rFonts w:hint="eastAsia" w:ascii="宋体" w:hAnsi="宋体" w:eastAsia="宋体" w:cs="宋体"/>
                <w:spacing w:val="-12"/>
                <w:sz w:val="24"/>
                <w:szCs w:val="24"/>
              </w:rPr>
              <w:t xml:space="preserve">。</w:t>
            </w:r>
            <w:r/>
          </w:p>
        </w:tc>
      </w:tr>
      <w:tr>
        <w:trPr>
          <w:trHeight w:val="519"/>
        </w:trPr>
        <w:tc>
          <w:tcPr>
            <w:shd w:val="clear" w:color="auto" w:fill="auto"/>
            <w:tcW w:w="461"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11</w:t>
            </w:r>
            <w:r/>
          </w:p>
        </w:tc>
        <w:tc>
          <w:tcPr>
            <w:shd w:val="clear" w:color="auto" w:fill="auto"/>
            <w:tcW w:w="4538" w:type="pct"/>
            <w:vAlign w:val="center"/>
            <w:textDirection w:val="lrTb"/>
            <w:noWrap w:val="false"/>
          </w:tcPr>
          <w:p>
            <w:pPr>
              <w:ind w:right="197"/>
              <w:jc w:val="left"/>
              <w:spacing w:before="1" w:line="240" w:lineRule="auto"/>
              <w:rPr>
                <w:rFonts w:hint="eastAsia" w:ascii="宋体" w:hAnsi="宋体" w:eastAsia="宋体" w:cs="宋体"/>
                <w:b/>
                <w:bCs/>
                <w:spacing w:val="-16"/>
                <w:sz w:val="24"/>
                <w:szCs w:val="24"/>
                <w:lang w:val="en-US" w:eastAsia="zh-CN" w:bidi="ar-SA"/>
              </w:rPr>
            </w:pPr>
            <w:r>
              <w:rPr>
                <w:rFonts w:hint="eastAsia" w:ascii="宋体" w:hAnsi="宋体" w:eastAsia="宋体" w:cs="宋体"/>
                <w:spacing w:val="-3"/>
                <w:sz w:val="24"/>
                <w:szCs w:val="24"/>
              </w:rPr>
              <w:t xml:space="preserve">配送下列全新配件：注水瓶5</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 xml:space="preserve">个，送</w:t>
            </w:r>
            <w:r>
              <w:rPr>
                <w:rFonts w:hint="eastAsia" w:ascii="宋体" w:hAnsi="宋体" w:eastAsia="宋体" w:cs="宋体"/>
                <w:spacing w:val="-6"/>
                <w:sz w:val="24"/>
                <w:szCs w:val="24"/>
              </w:rPr>
              <w:t xml:space="preserve">气送水按钮</w:t>
            </w:r>
            <w:r>
              <w:rPr>
                <w:rFonts w:hint="eastAsia" w:ascii="宋体" w:hAnsi="宋体" w:eastAsia="宋体" w:cs="宋体"/>
                <w:spacing w:val="-57"/>
                <w:sz w:val="24"/>
                <w:szCs w:val="24"/>
              </w:rPr>
              <w:t xml:space="preserve"> </w:t>
            </w:r>
            <w:r>
              <w:rPr>
                <w:rFonts w:hint="eastAsia" w:ascii="宋体" w:hAnsi="宋体" w:eastAsia="宋体" w:cs="宋体"/>
                <w:spacing w:val="-6"/>
                <w:sz w:val="24"/>
                <w:szCs w:val="24"/>
              </w:rPr>
              <w:t xml:space="preserve">20</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 xml:space="preserve">个，吸引按钮</w:t>
            </w:r>
            <w:r>
              <w:rPr>
                <w:rFonts w:hint="eastAsia" w:ascii="宋体" w:hAnsi="宋体" w:eastAsia="宋体" w:cs="宋体"/>
                <w:spacing w:val="-57"/>
                <w:sz w:val="24"/>
                <w:szCs w:val="24"/>
              </w:rPr>
              <w:t xml:space="preserve"> </w:t>
            </w:r>
            <w:r>
              <w:rPr>
                <w:rFonts w:hint="eastAsia" w:ascii="宋体" w:hAnsi="宋体" w:eastAsia="宋体" w:cs="宋体"/>
                <w:spacing w:val="-7"/>
                <w:sz w:val="24"/>
                <w:szCs w:val="24"/>
              </w:rPr>
              <w:t xml:space="preserve">20</w:t>
            </w:r>
            <w:r>
              <w:rPr>
                <w:rFonts w:hint="eastAsia" w:ascii="宋体" w:hAnsi="宋体" w:eastAsia="宋体" w:cs="宋体"/>
                <w:spacing w:val="-50"/>
                <w:sz w:val="24"/>
                <w:szCs w:val="24"/>
              </w:rPr>
              <w:t xml:space="preserve"> </w:t>
            </w:r>
            <w:r>
              <w:rPr>
                <w:rFonts w:hint="eastAsia" w:ascii="宋体" w:hAnsi="宋体" w:eastAsia="宋体" w:cs="宋体"/>
                <w:spacing w:val="-7"/>
                <w:sz w:val="24"/>
                <w:szCs w:val="24"/>
              </w:rPr>
              <w:t xml:space="preserve">个，防水帽</w:t>
            </w:r>
            <w:r>
              <w:rPr>
                <w:rFonts w:hint="eastAsia" w:ascii="宋体" w:hAnsi="宋体" w:eastAsia="宋体" w:cs="宋体"/>
                <w:spacing w:val="-40"/>
                <w:sz w:val="24"/>
                <w:szCs w:val="24"/>
              </w:rPr>
              <w:t xml:space="preserve"> </w:t>
            </w:r>
            <w:r>
              <w:rPr>
                <w:rFonts w:hint="eastAsia" w:ascii="宋体" w:hAnsi="宋体" w:eastAsia="宋体" w:cs="宋体"/>
                <w:spacing w:val="-7"/>
                <w:sz w:val="24"/>
                <w:szCs w:val="24"/>
              </w:rPr>
              <w:t xml:space="preserve">10</w:t>
            </w:r>
            <w:r>
              <w:rPr>
                <w:rFonts w:hint="eastAsia" w:ascii="宋体" w:hAnsi="宋体" w:eastAsia="宋体" w:cs="宋体"/>
                <w:spacing w:val="-50"/>
                <w:sz w:val="24"/>
                <w:szCs w:val="24"/>
              </w:rPr>
              <w:t xml:space="preserve"> </w:t>
            </w:r>
            <w:r>
              <w:rPr>
                <w:rFonts w:hint="eastAsia" w:ascii="宋体" w:hAnsi="宋体" w:eastAsia="宋体" w:cs="宋体"/>
                <w:spacing w:val="-7"/>
                <w:sz w:val="24"/>
                <w:szCs w:val="24"/>
              </w:rPr>
              <w:t xml:space="preserve">个，</w:t>
            </w:r>
            <w:r>
              <w:rPr>
                <w:rFonts w:hint="eastAsia" w:ascii="宋体" w:hAnsi="宋体" w:eastAsia="宋体" w:cs="宋体"/>
                <w:spacing w:val="-4"/>
                <w:sz w:val="24"/>
                <w:szCs w:val="24"/>
              </w:rPr>
              <w:t xml:space="preserve">管道开口清洁刷</w:t>
            </w:r>
            <w:r>
              <w:rPr>
                <w:rFonts w:hint="eastAsia" w:ascii="宋体" w:hAnsi="宋体" w:eastAsia="宋体" w:cs="宋体"/>
                <w:spacing w:val="-57"/>
                <w:sz w:val="24"/>
                <w:szCs w:val="24"/>
              </w:rPr>
              <w:t xml:space="preserve"> </w:t>
            </w:r>
            <w:r>
              <w:rPr>
                <w:rFonts w:hint="eastAsia" w:ascii="宋体" w:hAnsi="宋体" w:eastAsia="宋体" w:cs="宋体"/>
                <w:spacing w:val="-4"/>
                <w:sz w:val="24"/>
                <w:szCs w:val="24"/>
              </w:rPr>
              <w:t xml:space="preserve">20</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 xml:space="preserve">个，输水管附件</w:t>
            </w:r>
            <w:r>
              <w:rPr>
                <w:rFonts w:hint="eastAsia" w:ascii="宋体" w:hAnsi="宋体" w:eastAsia="宋体" w:cs="宋体"/>
                <w:spacing w:val="-54"/>
                <w:sz w:val="24"/>
                <w:szCs w:val="24"/>
              </w:rPr>
              <w:t xml:space="preserve"> </w:t>
            </w:r>
            <w:r>
              <w:rPr>
                <w:rFonts w:hint="eastAsia" w:ascii="宋体" w:hAnsi="宋体" w:eastAsia="宋体" w:cs="宋体"/>
                <w:spacing w:val="-4"/>
                <w:sz w:val="24"/>
                <w:szCs w:val="24"/>
              </w:rPr>
              <w:t xml:space="preserve">5</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 xml:space="preserve">个，</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 xml:space="preserve">管道清洗</w:t>
            </w:r>
            <w:r>
              <w:rPr>
                <w:rFonts w:hint="eastAsia" w:ascii="宋体" w:hAnsi="宋体" w:eastAsia="宋体" w:cs="宋体"/>
                <w:spacing w:val="-7"/>
                <w:sz w:val="24"/>
                <w:szCs w:val="24"/>
              </w:rPr>
              <w:t xml:space="preserve">刷</w:t>
            </w:r>
            <w:r>
              <w:rPr>
                <w:rFonts w:hint="eastAsia" w:ascii="宋体" w:hAnsi="宋体" w:eastAsia="宋体" w:cs="宋体"/>
                <w:spacing w:val="-42"/>
                <w:sz w:val="24"/>
                <w:szCs w:val="24"/>
              </w:rPr>
              <w:t xml:space="preserve"> </w:t>
            </w:r>
            <w:r>
              <w:rPr>
                <w:rFonts w:hint="eastAsia" w:ascii="宋体" w:hAnsi="宋体" w:eastAsia="宋体" w:cs="宋体"/>
                <w:spacing w:val="-7"/>
                <w:sz w:val="24"/>
                <w:szCs w:val="24"/>
              </w:rPr>
              <w:t xml:space="preserve">20</w:t>
            </w:r>
            <w:r>
              <w:rPr>
                <w:rFonts w:hint="eastAsia" w:ascii="宋体" w:hAnsi="宋体" w:eastAsia="宋体" w:cs="宋体"/>
                <w:spacing w:val="-50"/>
                <w:sz w:val="24"/>
                <w:szCs w:val="24"/>
              </w:rPr>
              <w:t xml:space="preserve"> </w:t>
            </w:r>
            <w:r>
              <w:rPr>
                <w:rFonts w:hint="eastAsia" w:ascii="宋体" w:hAnsi="宋体" w:eastAsia="宋体" w:cs="宋体"/>
                <w:spacing w:val="-7"/>
                <w:sz w:val="24"/>
                <w:szCs w:val="24"/>
              </w:rPr>
              <w:t xml:space="preserve">个，管道塞</w:t>
            </w:r>
            <w:r>
              <w:rPr>
                <w:rFonts w:hint="eastAsia" w:ascii="宋体" w:hAnsi="宋体" w:eastAsia="宋体" w:cs="宋体"/>
                <w:spacing w:val="-40"/>
                <w:sz w:val="24"/>
                <w:szCs w:val="24"/>
              </w:rPr>
              <w:t xml:space="preserve"> </w:t>
            </w:r>
            <w:r>
              <w:rPr>
                <w:rFonts w:hint="eastAsia" w:ascii="宋体" w:hAnsi="宋体" w:eastAsia="宋体" w:cs="宋体"/>
                <w:spacing w:val="-7"/>
                <w:sz w:val="24"/>
                <w:szCs w:val="24"/>
              </w:rPr>
              <w:t xml:space="preserve">10</w:t>
            </w:r>
            <w:r>
              <w:rPr>
                <w:rFonts w:hint="eastAsia" w:ascii="宋体" w:hAnsi="宋体" w:eastAsia="宋体" w:cs="宋体"/>
                <w:spacing w:val="-50"/>
                <w:sz w:val="24"/>
                <w:szCs w:val="24"/>
              </w:rPr>
              <w:t xml:space="preserve"> </w:t>
            </w:r>
            <w:r>
              <w:rPr>
                <w:rFonts w:hint="eastAsia" w:ascii="宋体" w:hAnsi="宋体" w:eastAsia="宋体" w:cs="宋体"/>
                <w:spacing w:val="-7"/>
                <w:sz w:val="24"/>
                <w:szCs w:val="24"/>
              </w:rPr>
              <w:t xml:space="preserve">个。</w:t>
            </w:r>
            <w:r/>
          </w:p>
        </w:tc>
      </w:tr>
    </w:tbl>
    <w:p>
      <w:pPr>
        <w:pStyle w:val="886"/>
        <w:ind w:left="0" w:firstLine="0"/>
        <w:rPr>
          <w:rFonts w:hint="eastAsia"/>
          <w:highlight w:val="none"/>
          <w:lang w:eastAsia="zh-CN"/>
        </w:rPr>
      </w:pPr>
      <w:r>
        <w:rPr>
          <w:rFonts w:hint="eastAsia"/>
          <w:highlight w:val="none"/>
          <w:lang w:eastAsia="zh-CN"/>
        </w:rPr>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、商务要求</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（一）付款方式：维保开始先预</w:t>
      </w:r>
      <w:r>
        <w:rPr>
          <w:rFonts w:hint="eastAsia" w:ascii="宋体" w:hAnsi="宋体" w:eastAsia="宋体" w:cs="宋体"/>
          <w:sz w:val="24"/>
          <w:szCs w:val="24"/>
          <w:highlight w:val="white"/>
        </w:rPr>
        <w:t xml:space="preserve">付</w:t>
      </w:r>
      <w:r>
        <w:rPr>
          <w:rFonts w:hint="eastAsia" w:ascii="宋体" w:hAnsi="宋体" w:cs="宋体"/>
          <w:sz w:val="24"/>
          <w:szCs w:val="24"/>
          <w:highlight w:val="white"/>
          <w:lang w:val="en-US" w:eastAsia="zh-CN"/>
        </w:rPr>
        <w:t xml:space="preserve">第</w:t>
      </w:r>
      <w:r>
        <w:rPr>
          <w:rFonts w:hint="eastAsia" w:ascii="宋体" w:hAnsi="宋体" w:eastAsia="宋体" w:cs="宋体"/>
          <w:sz w:val="24"/>
          <w:szCs w:val="24"/>
          <w:highlight w:val="white"/>
        </w:rPr>
        <w:t xml:space="preserve">一年维保费用</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第二年</w:t>
      </w:r>
      <w:r>
        <w:rPr>
          <w:rFonts w:hint="eastAsia" w:ascii="宋体" w:hAnsi="宋体" w:eastAsia="宋体" w:cs="宋体"/>
          <w:sz w:val="24"/>
          <w:szCs w:val="24"/>
          <w:highlight w:val="white"/>
          <w:lang w:val="en-US" w:eastAsia="zh-CN"/>
        </w:rPr>
        <w:t xml:space="preserve">第三</w:t>
      </w:r>
      <w:r>
        <w:rPr>
          <w:rFonts w:hint="eastAsia" w:ascii="宋体" w:hAnsi="宋体" w:eastAsia="宋体" w:cs="宋体"/>
          <w:sz w:val="24"/>
          <w:szCs w:val="24"/>
          <w:highlight w:val="white"/>
        </w:rPr>
        <w:t xml:space="preserve">维保款</w:t>
      </w:r>
      <w:r>
        <w:rPr>
          <w:rFonts w:hint="eastAsia" w:ascii="宋体" w:hAnsi="宋体" w:cs="宋体"/>
          <w:sz w:val="24"/>
          <w:szCs w:val="24"/>
          <w:highlight w:val="white"/>
          <w:lang w:val="en-US" w:eastAsia="zh-CN"/>
        </w:rPr>
        <w:t xml:space="preserve">按</w:t>
      </w:r>
      <w:r>
        <w:rPr>
          <w:rFonts w:hint="eastAsia" w:ascii="宋体" w:hAnsi="宋体" w:eastAsia="宋体" w:cs="宋体"/>
          <w:sz w:val="24"/>
          <w:szCs w:val="24"/>
          <w:highlight w:val="white"/>
          <w:lang w:val="en-US" w:eastAsia="zh-CN"/>
        </w:rPr>
        <w:t xml:space="preserve">期每年支付一次</w:t>
      </w:r>
      <w:r>
        <w:rPr>
          <w:rFonts w:hint="eastAsia" w:ascii="宋体" w:hAnsi="宋体" w:eastAsia="宋体" w:cs="宋体"/>
          <w:sz w:val="24"/>
          <w:szCs w:val="24"/>
          <w:highlight w:val="white"/>
        </w:rPr>
        <w:t xml:space="preserve">。</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（二）服务期限：叁年</w:t>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rPr>
        <w:t xml:space="preserve">（三）其他要求：</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落实商品包装、快递包装政府采购需求标准。在履约验收时按照本条款执行，违反本约定的对照合同违约条款追究违约责任。供应商一旦参与本项目投标，即完全响应本条款要求。</w:t>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86"/>
        <w:ind w:left="0" w:firstLine="0"/>
        <w:rPr>
          <w:rFonts w:hint="eastAsia" w:ascii="宋体" w:hAnsi="宋体" w:eastAsia="宋体" w:cs="宋体"/>
          <w:highlight w:val="none"/>
        </w:rPr>
      </w:pPr>
      <w:r>
        <w:rPr>
          <w:rFonts w:hint="eastAsia" w:ascii="宋体" w:hAnsi="宋体" w:eastAsia="宋体" w:cs="宋体"/>
          <w:highlight w:val="none"/>
        </w:rPr>
      </w:r>
      <w:r/>
    </w:p>
    <w:p>
      <w:pPr>
        <w:numPr>
          <w:ilvl w:val="0"/>
          <w:numId w:val="5"/>
        </w:numPr>
        <w:jc w:val="cente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合同</w:t>
      </w:r>
      <w:r>
        <w:rPr>
          <w:rFonts w:hint="eastAsia" w:ascii="宋体" w:hAnsi="宋体" w:cs="宋体"/>
          <w:b/>
          <w:color w:val="000000"/>
          <w:sz w:val="32"/>
          <w:szCs w:val="32"/>
          <w:highlight w:val="none"/>
          <w:lang w:val="en-US" w:eastAsia="zh-CN"/>
        </w:rPr>
        <w:t xml:space="preserve">(仅供参考）</w:t>
      </w:r>
      <w:r/>
    </w:p>
    <w:p>
      <w:pPr>
        <w:jc w:val="center"/>
        <w:spacing w:line="360" w:lineRule="auto"/>
        <w:rPr>
          <w:rFonts w:hint="eastAsia" w:ascii="Times New Roman" w:hAnsi="Times New Roman" w:eastAsia="宋体" w:cs="Times New Roman"/>
          <w:b/>
          <w:color w:val="000000"/>
          <w:sz w:val="32"/>
          <w:szCs w:val="32"/>
        </w:rPr>
      </w:pPr>
      <w:r>
        <w:rPr>
          <w:rFonts w:hint="eastAsia" w:cs="Times New Roman"/>
          <w:b/>
          <w:color w:val="000000"/>
          <w:sz w:val="32"/>
          <w:szCs w:val="32"/>
          <w:lang w:eastAsia="zh-CN"/>
        </w:rPr>
        <w:t xml:space="preserve"> 泰兴市人民医院</w:t>
      </w:r>
      <w:r>
        <w:rPr>
          <w:rFonts w:hint="eastAsia" w:ascii="Times New Roman" w:hAnsi="Times New Roman" w:eastAsia="宋体" w:cs="Times New Roman"/>
          <w:b/>
          <w:color w:val="000000"/>
          <w:sz w:val="32"/>
          <w:szCs w:val="32"/>
        </w:rPr>
        <w:t xml:space="preserve">医疗设备维保服务合同</w:t>
      </w:r>
      <w:r/>
    </w:p>
    <w:p>
      <w:pPr>
        <w:spacing w:line="360" w:lineRule="auto"/>
        <w:rPr>
          <w:rFonts w:hint="default" w:ascii="Times New Roman" w:hAnsi="Times New Roman" w:eastAsia="宋体" w:cs="Times New Roman"/>
          <w:color w:val="000000"/>
          <w:szCs w:val="24"/>
          <w:u w:val="single"/>
        </w:rPr>
      </w:pPr>
      <w:r>
        <w:rPr>
          <w:rFonts w:hint="eastAsia" w:ascii="Times New Roman" w:hAnsi="Times New Roman" w:eastAsia="宋体" w:cs="Times New Roman"/>
          <w:b/>
          <w:color w:val="000000"/>
          <w:szCs w:val="21"/>
        </w:rPr>
        <w:t xml:space="preserve">甲方</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u w:val="single"/>
          <w:lang w:val="en-US" w:eastAsia="zh-CN"/>
        </w:rPr>
        <w:t xml:space="preserve">  </w:t>
      </w:r>
      <w:r>
        <w:rPr>
          <w:rFonts w:hint="eastAsia" w:cs="Times New Roman"/>
          <w:color w:val="000000"/>
          <w:szCs w:val="21"/>
          <w:u w:val="single"/>
          <w:lang w:eastAsia="zh-CN"/>
        </w:rPr>
        <w:t xml:space="preserve"> 泰兴市人民医院</w:t>
      </w:r>
      <w:r>
        <w:rPr>
          <w:rFonts w:hint="eastAsia"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default" w:ascii="Times New Roman" w:hAnsi="Times New Roman" w:eastAsia="宋体" w:cs="Times New Roman"/>
          <w:b/>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b/>
          <w:color w:val="000000"/>
          <w:szCs w:val="21"/>
        </w:rPr>
        <w:t xml:space="preserve">乙方</w:t>
      </w: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4"/>
          <w:u w:val="single"/>
        </w:rPr>
        <w:t xml:space="preserve"> </w:t>
      </w:r>
      <w:r>
        <w:rPr>
          <w:rFonts w:hint="eastAsia" w:ascii="楷体_GB2312" w:hAnsi="Times New Roman" w:eastAsia="楷体_GB2312" w:cs="Times New Roman"/>
          <w:b/>
          <w:color w:val="000000"/>
          <w:szCs w:val="21"/>
          <w:u w:val="single"/>
        </w:rPr>
        <w:t xml:space="preserve"> </w:t>
      </w:r>
      <w:r>
        <w:rPr>
          <w:rFonts w:hint="default" w:ascii="楷体_GB2312" w:hAnsi="Times New Roman" w:eastAsia="楷体_GB2312" w:cs="Times New Roman"/>
          <w:b/>
          <w:color w:val="000000"/>
          <w:szCs w:val="21"/>
          <w:u w:val="single"/>
        </w:rPr>
        <w:t xml:space="preserve">                   </w:t>
      </w:r>
      <w:r>
        <w:rPr>
          <w:rFonts w:hint="eastAsia" w:ascii="楷体_GB2312" w:hAnsi="Times New Roman" w:eastAsia="楷体_GB2312" w:cs="Times New Roman"/>
          <w:b/>
          <w:color w:val="000000"/>
          <w:szCs w:val="21"/>
          <w:u w:val="single"/>
        </w:rPr>
        <w:t xml:space="preserve"> </w:t>
      </w:r>
      <w:r>
        <w:rPr>
          <w:rFonts w:hint="eastAsia" w:ascii="Times New Roman" w:hAnsi="Times New Roman" w:eastAsia="宋体" w:cs="Times New Roman"/>
          <w:color w:val="000000"/>
          <w:szCs w:val="21"/>
          <w:u w:val="single"/>
        </w:rPr>
        <w:t xml:space="preserve"> </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甲乙双方根据</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en-US" w:eastAsia="zh-CN"/>
        </w:rPr>
        <w:t xml:space="preserve">中华人民共和国</w:t>
      </w:r>
      <w:r>
        <w:rPr>
          <w:rFonts w:hint="eastAsia" w:ascii="宋体" w:hAnsi="宋体" w:eastAsia="宋体" w:cs="Times New Roman"/>
          <w:color w:val="auto"/>
          <w:szCs w:val="21"/>
        </w:rPr>
        <w:t xml:space="preserve">民法典》，在</w:t>
      </w:r>
      <w:r>
        <w:rPr>
          <w:rFonts w:hint="eastAsia" w:ascii="宋体" w:hAnsi="宋体" w:eastAsia="宋体" w:cs="Times New Roman"/>
          <w:color w:val="000000"/>
          <w:szCs w:val="21"/>
        </w:rPr>
        <w:t xml:space="preserve">平等互利、协商一致的基础上，达成以下设备维保服务合同：</w:t>
      </w:r>
      <w:r/>
    </w:p>
    <w:p>
      <w:pPr>
        <w:ind w:firstLine="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一、合同期限：</w:t>
      </w:r>
      <w:r/>
    </w:p>
    <w:p>
      <w:pPr>
        <w:ind w:left="420" w:firstLine="0"/>
        <w:jc w:val="both"/>
        <w:spacing w:line="360" w:lineRule="auto"/>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保修期自</w:t>
      </w:r>
      <w:r>
        <w:rPr>
          <w:rFonts w:hint="eastAsia" w:ascii="宋体" w:hAnsi="宋体" w:eastAsia="宋体" w:cs="Times New Roman"/>
          <w:color w:val="ff0000"/>
          <w:sz w:val="21"/>
          <w:szCs w:val="21"/>
          <w:u w:val="single"/>
          <w:lang w:val="en-US" w:eastAsia="zh-CN" w:bidi="ar-SA"/>
        </w:rPr>
        <w:t xml:space="preserve">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年X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月X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日</w:t>
      </w:r>
      <w:r>
        <w:rPr>
          <w:rFonts w:hint="eastAsia" w:ascii="宋体" w:hAnsi="宋体" w:eastAsia="宋体" w:cs="Times New Roman"/>
          <w:sz w:val="21"/>
          <w:szCs w:val="21"/>
          <w:lang w:val="en-US" w:eastAsia="zh-CN" w:bidi="ar-SA"/>
        </w:rPr>
        <w:t xml:space="preserve">至</w:t>
      </w:r>
      <w:r>
        <w:rPr>
          <w:rFonts w:hint="eastAsia" w:ascii="宋体" w:hAnsi="宋体" w:eastAsia="宋体" w:cs="Times New Roman"/>
          <w:color w:val="ff0000"/>
          <w:sz w:val="21"/>
          <w:szCs w:val="21"/>
          <w:u w:val="single"/>
          <w:lang w:val="en-US" w:eastAsia="zh-CN" w:bidi="ar-SA"/>
        </w:rPr>
        <w:t xml:space="preserve">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年X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月X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日</w:t>
      </w:r>
      <w:r>
        <w:rPr>
          <w:rFonts w:hint="eastAsia" w:ascii="宋体" w:hAnsi="宋体" w:eastAsia="宋体" w:cs="Times New Roman"/>
          <w:sz w:val="21"/>
          <w:szCs w:val="21"/>
          <w:lang w:val="en-US" w:eastAsia="zh-CN" w:bidi="ar-SA"/>
        </w:rPr>
        <w:t xml:space="preserve">。</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若由于该设备停止使用的原因，甲方需要解除该合同，甲方可提前3</w:t>
      </w:r>
      <w:r>
        <w:rPr>
          <w:rFonts w:hint="default" w:ascii="宋体" w:hAnsi="宋体" w:eastAsia="宋体" w:cs="Times New Roman"/>
          <w:szCs w:val="21"/>
        </w:rPr>
        <w:t xml:space="preserve">0</w:t>
      </w:r>
      <w:r>
        <w:rPr>
          <w:rFonts w:hint="eastAsia" w:ascii="宋体" w:hAnsi="宋体" w:eastAsia="宋体" w:cs="Times New Roman"/>
          <w:szCs w:val="21"/>
        </w:rPr>
        <w:t xml:space="preserve">日以书面形式通知乙方，确认设备停用时间，在合同有效期内提前解除合同，费用结算至确认的设备停用时间，当期合同价款按天计算。</w:t>
      </w:r>
      <w:r/>
    </w:p>
    <w:p>
      <w:pPr>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二、维保服务设备：</w:t>
      </w:r>
      <w:r/>
    </w:p>
    <w:tbl>
      <w:tblPr>
        <w:tblStyle w:val="880"/>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设备名称</w:t>
            </w:r>
            <w:r/>
          </w:p>
        </w:tc>
        <w:tc>
          <w:tcPr>
            <w:tcW w:w="1984"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品牌、规格型号</w:t>
            </w:r>
            <w:r/>
          </w:p>
        </w:tc>
        <w:tc>
          <w:tcPr>
            <w:tcW w:w="992"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数量</w:t>
            </w:r>
            <w:r/>
          </w:p>
        </w:tc>
        <w:tc>
          <w:tcPr>
            <w:tcW w:w="993"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单位</w:t>
            </w:r>
            <w:r/>
          </w:p>
        </w:tc>
        <w:tc>
          <w:tcPr>
            <w:tcW w:w="1701"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维保单价（元</w:t>
            </w:r>
            <w:r>
              <w:rPr>
                <w:rFonts w:hint="eastAsia" w:ascii="Times New Roman" w:hAnsi="Times New Roman" w:eastAsia="宋体" w:cs="Times New Roman"/>
                <w:color w:val="000000"/>
                <w:szCs w:val="21"/>
              </w:rPr>
              <w:t xml:space="preserve">）</w:t>
            </w:r>
            <w:r/>
          </w:p>
        </w:tc>
        <w:tc>
          <w:tcPr>
            <w:tcW w:w="1134"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维保年限</w:t>
            </w:r>
            <w:r/>
          </w:p>
        </w:tc>
        <w:tc>
          <w:tcPr>
            <w:tcW w:w="1842" w:type="dxa"/>
            <w:vAlign w:val="center"/>
            <w:textDirection w:val="lrTb"/>
            <w:noWrap w:val="false"/>
          </w:tcPr>
          <w:p>
            <w:pPr>
              <w:jc w:val="cente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维保总金额（元</w:t>
            </w:r>
            <w:r>
              <w:rPr>
                <w:rFonts w:hint="eastAsia" w:ascii="Times New Roman" w:hAnsi="Times New Roman" w:eastAsia="宋体" w:cs="Times New Roman"/>
                <w:color w:val="000000"/>
                <w:szCs w:val="21"/>
              </w:rPr>
              <w:t xml:space="preserve">）</w:t>
            </w:r>
            <w:r/>
          </w:p>
        </w:tc>
      </w:tr>
      <w:tr>
        <w:trPr>
          <w:trHeight w:val="450"/>
        </w:trPr>
        <w:tc>
          <w:tcPr>
            <w:tcW w:w="1277"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984"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见附表</w:t>
            </w:r>
            <w:r/>
          </w:p>
        </w:tc>
        <w:tc>
          <w:tcPr>
            <w:tcW w:w="992" w:type="dxa"/>
            <w:vAlign w:val="top"/>
            <w:textDirection w:val="lrTb"/>
            <w:noWrap w:val="false"/>
          </w:tcPr>
          <w:p>
            <w:pPr>
              <w:ind w:firstLine="210"/>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993" w:type="dxa"/>
            <w:vAlign w:val="top"/>
            <w:textDirection w:val="lrTb"/>
            <w:noWrap w:val="false"/>
          </w:tcPr>
          <w:p>
            <w:pPr>
              <w:jc w:val="center"/>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1701"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134" w:type="dxa"/>
            <w:vAlign w:val="top"/>
            <w:textDirection w:val="lrTb"/>
            <w:noWrap w:val="false"/>
          </w:tcPr>
          <w:p>
            <w:pPr>
              <w:jc w:val="center"/>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1842"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trHeight w:val="470"/>
        </w:trPr>
        <w:tc>
          <w:tcPr>
            <w:gridSpan w:val="7"/>
            <w:tcW w:w="9923" w:type="dxa"/>
            <w:vAlign w:val="center"/>
            <w:textDirection w:val="lrTb"/>
            <w:noWrap w:val="false"/>
          </w:tcPr>
          <w:p>
            <w:pPr>
              <w:ind w:firstLine="422"/>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合计（大写）：（人民币） </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元整</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小写：￥ </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元</w:t>
            </w:r>
            <w:r/>
          </w:p>
          <w:p>
            <w:pPr>
              <w:ind w:firstLine="422"/>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使用科室</w:t>
            </w:r>
            <w:r/>
          </w:p>
        </w:tc>
        <w:tc>
          <w:tcPr>
            <w:gridSpan w:val="6"/>
            <w:tcW w:w="8646" w:type="dxa"/>
            <w:vAlign w:val="center"/>
            <w:textDirection w:val="lrTb"/>
            <w:noWrap w:val="false"/>
          </w:tcPr>
          <w:p>
            <w:pP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r>
            <w:r/>
          </w:p>
        </w:tc>
      </w:tr>
    </w:tbl>
    <w:p>
      <w:pPr>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三、付款方式</w:t>
      </w:r>
      <w:r/>
    </w:p>
    <w:p>
      <w:pPr>
        <w:ind w:firstLine="420"/>
        <w:spacing w:line="360" w:lineRule="auto"/>
        <w:rPr>
          <w:rFonts w:hint="default" w:ascii="Times New Roman" w:hAnsi="宋体" w:eastAsia="宋体" w:cs="Times New Roman"/>
          <w:szCs w:val="24"/>
        </w:rPr>
      </w:pPr>
      <w:r/>
      <w:bookmarkStart w:id="117" w:name="OLE_LINK1"/>
      <w:r/>
      <w:bookmarkStart w:id="118" w:name="_Hlk184061930"/>
      <w:r>
        <w:rPr>
          <w:rFonts w:hint="eastAsia" w:ascii="Times New Roman" w:hAnsi="Times New Roman" w:eastAsia="宋体" w:cs="Times New Roman"/>
          <w:color w:val="000000"/>
          <w:szCs w:val="21"/>
        </w:rPr>
        <w:t xml:space="preserve">1、</w:t>
      </w:r>
      <w:r>
        <w:rPr>
          <w:rFonts w:hint="eastAsia" w:ascii="Times New Roman" w:hAnsi="宋体" w:eastAsia="宋体" w:cs="Times New Roman"/>
          <w:szCs w:val="24"/>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17"/>
      <w:r/>
      <w:bookmarkEnd w:id="118"/>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2、付款时间表：</w:t>
      </w:r>
      <w:r/>
    </w:p>
    <w:p>
      <w:pPr>
        <w:pStyle w:val="902"/>
        <w:rPr>
          <w:rFonts w:hint="eastAsia" w:eastAsia="宋体" w:cs="Times New Roman"/>
        </w:rPr>
      </w:pPr>
      <w:r>
        <w:rPr>
          <w:rFonts w:hint="eastAsia" w:hAnsi="宋体" w:eastAsia="宋体" w:cs="Times New Roman"/>
        </w:rPr>
        <w:t xml:space="preserve">合同为固定单价合同，合同价款不因国家税率变更而更改。</w:t>
      </w:r>
      <w:r/>
    </w:p>
    <w:p>
      <w:pPr>
        <w:ind w:firstLine="420"/>
        <w:jc w:val="left"/>
        <w:spacing w:line="360" w:lineRule="auto"/>
        <w:widowControl/>
        <w:rPr>
          <w:rFonts w:hint="default" w:ascii="Times New Roman" w:hAnsi="Times New Roman" w:eastAsia="宋体" w:cs="Times New Roman"/>
          <w:color w:val="000000"/>
          <w:szCs w:val="21"/>
          <w:u w:val="single"/>
        </w:rPr>
      </w:pPr>
      <w:r>
        <w:rPr>
          <w:rFonts w:hint="eastAsia" w:ascii="Times New Roman" w:hAnsi="Times New Roman" w:eastAsia="宋体" w:cs="Times New Roman"/>
          <w:color w:val="000000"/>
          <w:szCs w:val="21"/>
        </w:rPr>
        <w:t xml:space="preserve">合同总价</w:t>
      </w:r>
      <w:bookmarkStart w:id="119" w:name="_Hlk184062102"/>
      <w:r>
        <w:rPr>
          <w:rFonts w:hint="eastAsia" w:ascii="Times New Roman" w:hAnsi="Times New Roman" w:eastAsia="宋体" w:cs="Times New Roman"/>
          <w:color w:val="000000"/>
          <w:szCs w:val="21"/>
        </w:rPr>
        <w:t xml:space="preserve">（人民币）</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（大写： </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 </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元整）</w:t>
      </w:r>
      <w:bookmarkEnd w:id="119"/>
      <w:r/>
      <w:r/>
    </w:p>
    <w:p>
      <w:pPr>
        <w:pStyle w:val="902"/>
        <w:rPr>
          <w:rFonts w:hint="default" w:eastAsia="宋体" w:cs="Times New Roman"/>
          <w:color w:val="000000"/>
        </w:rPr>
      </w:pPr>
      <w:r>
        <w:rPr>
          <w:rFonts w:hint="eastAsia" w:eastAsia="宋体" w:cs="Times New Roman"/>
          <w:color w:val="000000"/>
        </w:rPr>
        <w:t xml:space="preserve">第壹</w:t>
      </w:r>
      <w:bookmarkStart w:id="120" w:name="_Hlk184059117"/>
      <w:r>
        <w:rPr>
          <w:rFonts w:hint="eastAsia" w:eastAsia="宋体" w:cs="Times New Roman"/>
          <w:color w:val="000000"/>
        </w:rPr>
        <w:t xml:space="preserve">期</w:t>
      </w:r>
      <w:bookmarkEnd w:id="120"/>
      <w:r>
        <w:rPr>
          <w:rFonts w:hint="eastAsia" w:eastAsia="宋体" w:cs="Times New Roman"/>
          <w:color w:val="000000"/>
        </w:rPr>
        <w:t xml:space="preserve">付款时间节点：2</w:t>
      </w:r>
      <w:r>
        <w:rPr>
          <w:rFonts w:hint="default" w:eastAsia="宋体" w:cs="Times New Roman"/>
          <w:color w:val="000000"/>
        </w:rPr>
        <w:t xml:space="preserve">02   </w:t>
      </w:r>
      <w:r>
        <w:rPr>
          <w:rFonts w:hint="eastAsia" w:eastAsia="宋体" w:cs="Times New Roman"/>
          <w:color w:val="000000"/>
        </w:rPr>
        <w:t xml:space="preserve">年</w:t>
      </w:r>
      <w:r>
        <w:rPr>
          <w:rFonts w:hint="default" w:eastAsia="宋体" w:cs="Times New Roman"/>
          <w:color w:val="000000"/>
        </w:rPr>
        <w:t xml:space="preserve">   </w:t>
      </w:r>
      <w:r>
        <w:rPr>
          <w:rFonts w:hint="eastAsia" w:eastAsia="宋体" w:cs="Times New Roman"/>
          <w:color w:val="000000"/>
        </w:rPr>
        <w:t xml:space="preserve">月</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2"/>
        <w:rPr>
          <w:rFonts w:hint="default" w:eastAsia="宋体" w:cs="Times New Roman"/>
          <w:color w:val="000000"/>
        </w:rPr>
      </w:pPr>
      <w:r>
        <w:rPr>
          <w:rFonts w:hint="eastAsia" w:eastAsia="宋体" w:cs="Times New Roman"/>
          <w:color w:val="000000"/>
        </w:rPr>
        <w:t xml:space="preserve">第贰期付款时间节点：2</w:t>
      </w:r>
      <w:r>
        <w:rPr>
          <w:rFonts w:hint="default" w:eastAsia="宋体" w:cs="Times New Roman"/>
          <w:color w:val="000000"/>
        </w:rPr>
        <w:t xml:space="preserve">02   </w:t>
      </w:r>
      <w:r>
        <w:rPr>
          <w:rFonts w:hint="eastAsia" w:eastAsia="宋体" w:cs="Times New Roman"/>
          <w:color w:val="000000"/>
        </w:rPr>
        <w:t xml:space="preserve">年</w:t>
      </w:r>
      <w:r>
        <w:rPr>
          <w:rFonts w:hint="default" w:eastAsia="宋体" w:cs="Times New Roman"/>
          <w:color w:val="000000"/>
        </w:rPr>
        <w:t xml:space="preserve">   </w:t>
      </w:r>
      <w:r>
        <w:rPr>
          <w:rFonts w:hint="eastAsia" w:eastAsia="宋体" w:cs="Times New Roman"/>
          <w:color w:val="000000"/>
        </w:rPr>
        <w:t xml:space="preserve">月 </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2"/>
        <w:rPr>
          <w:rFonts w:hint="default" w:eastAsia="宋体" w:cs="Times New Roman"/>
          <w:color w:val="000000"/>
        </w:rPr>
      </w:pPr>
      <w:r>
        <w:rPr>
          <w:rFonts w:hint="eastAsia" w:eastAsia="宋体" w:cs="Times New Roman"/>
          <w:color w:val="000000"/>
        </w:rPr>
        <w:t xml:space="preserve">第叁期付款时间节点：2</w:t>
      </w:r>
      <w:r>
        <w:rPr>
          <w:rFonts w:hint="default" w:eastAsia="宋体" w:cs="Times New Roman"/>
          <w:color w:val="000000"/>
        </w:rPr>
        <w:t xml:space="preserve">02   </w:t>
      </w:r>
      <w:r>
        <w:rPr>
          <w:rFonts w:hint="eastAsia" w:eastAsia="宋体" w:cs="Times New Roman"/>
          <w:color w:val="000000"/>
        </w:rPr>
        <w:t xml:space="preserve">年 </w:t>
      </w:r>
      <w:r>
        <w:rPr>
          <w:rFonts w:hint="default" w:eastAsia="宋体" w:cs="Times New Roman"/>
          <w:color w:val="000000"/>
        </w:rPr>
        <w:t xml:space="preserve">  </w:t>
      </w:r>
      <w:r>
        <w:rPr>
          <w:rFonts w:hint="eastAsia" w:eastAsia="宋体" w:cs="Times New Roman"/>
          <w:color w:val="000000"/>
        </w:rPr>
        <w:t xml:space="preserve">月 </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2"/>
        <w:rPr>
          <w:rFonts w:hint="default" w:eastAsia="宋体" w:cs="Times New Roman"/>
          <w:color w:val="auto"/>
          <w:lang w:val="en-US" w:eastAsia="zh-CN"/>
        </w:rPr>
      </w:pPr>
      <w:r/>
      <w:bookmarkStart w:id="121" w:name="_Hlk184062969"/>
      <w:r>
        <w:rPr>
          <w:rFonts w:hint="eastAsia" w:eastAsia="宋体" w:cs="Times New Roman"/>
          <w:color w:val="auto"/>
          <w:lang w:val="en-US" w:eastAsia="zh-CN"/>
        </w:rPr>
        <w:t xml:space="preserve">乙方户名：</w:t>
      </w:r>
      <w:r>
        <w:rPr>
          <w:rFonts w:hint="eastAsia" w:eastAsia="宋体" w:cs="Times New Roman"/>
          <w:color w:val="auto"/>
          <w:u w:val="single"/>
        </w:rPr>
        <w:t xml:space="preserve"> </w:t>
      </w:r>
      <w:r>
        <w:rPr>
          <w:rFonts w:hint="default" w:eastAsia="宋体" w:cs="Times New Roman"/>
          <w:color w:val="auto"/>
          <w:u w:val="single"/>
        </w:rPr>
        <w:t xml:space="preserve">                                  </w:t>
      </w:r>
      <w:r/>
    </w:p>
    <w:p>
      <w:pPr>
        <w:pStyle w:val="902"/>
        <w:rPr>
          <w:rFonts w:hint="default" w:eastAsia="宋体" w:cs="Times New Roman"/>
          <w:color w:val="auto"/>
        </w:rPr>
      </w:pPr>
      <w:r>
        <w:rPr>
          <w:rFonts w:hint="eastAsia" w:eastAsia="宋体" w:cs="Times New Roman"/>
          <w:color w:val="auto"/>
        </w:rPr>
        <w:t xml:space="preserve">乙方</w:t>
      </w:r>
      <w:r>
        <w:rPr>
          <w:rFonts w:hint="eastAsia" w:eastAsia="宋体" w:cs="Times New Roman"/>
          <w:color w:val="auto"/>
          <w:lang w:val="en-US" w:eastAsia="zh-CN"/>
        </w:rPr>
        <w:t xml:space="preserve">开户行</w:t>
      </w:r>
      <w:r>
        <w:rPr>
          <w:rFonts w:hint="eastAsia" w:eastAsia="宋体" w:cs="Times New Roman"/>
          <w:color w:val="auto"/>
        </w:rPr>
        <w:t xml:space="preserve">：</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r/>
    </w:p>
    <w:p>
      <w:pPr>
        <w:pStyle w:val="902"/>
        <w:rPr>
          <w:rFonts w:hint="eastAsia" w:eastAsia="宋体" w:cs="Times New Roman"/>
          <w:color w:val="000000"/>
        </w:rPr>
      </w:pPr>
      <w:r>
        <w:rPr>
          <w:rFonts w:hint="eastAsia" w:eastAsia="宋体" w:cs="Times New Roman"/>
          <w:color w:val="auto"/>
        </w:rPr>
        <w:t xml:space="preserve">乙方账号：</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r>
        <w:rPr>
          <w:rFonts w:hint="default" w:eastAsia="宋体" w:cs="Times New Roman"/>
          <w:color w:val="000000"/>
        </w:rPr>
        <w:t xml:space="preserve"> </w:t>
      </w:r>
      <w:bookmarkEnd w:id="121"/>
      <w:r>
        <w:rPr>
          <w:rFonts w:hint="default" w:eastAsia="宋体" w:cs="Times New Roman"/>
          <w:color w:val="000000"/>
        </w:rPr>
        <w:t xml:space="preserve"> </w:t>
      </w:r>
      <w:r/>
    </w:p>
    <w:p>
      <w:pPr>
        <w:spacing w:line="360" w:lineRule="auto"/>
        <w:rPr>
          <w:rFonts w:hint="default" w:ascii="Times New Roman" w:hAnsi="宋体" w:eastAsia="宋体" w:cs="Times New Roman"/>
          <w:szCs w:val="24"/>
        </w:rPr>
      </w:pPr>
      <w:r/>
      <w:bookmarkStart w:id="122" w:name="_Hlk184061519"/>
      <w:r>
        <w:rPr>
          <w:rFonts w:hint="eastAsia" w:ascii="Times New Roman" w:hAnsi="宋体" w:eastAsia="宋体" w:cs="Times New Roman"/>
          <w:szCs w:val="24"/>
        </w:rPr>
        <w:t xml:space="preserve">四、甲方权利义务</w:t>
      </w:r>
      <w:r/>
    </w:p>
    <w:p>
      <w:pPr>
        <w:ind w:firstLine="420"/>
        <w:spacing w:line="360" w:lineRule="auto"/>
        <w:rPr>
          <w:rFonts w:hint="default" w:ascii="Times New Roman" w:hAnsi="宋体" w:eastAsia="宋体" w:cs="Times New Roman"/>
          <w:szCs w:val="24"/>
        </w:rPr>
      </w:pPr>
      <w:r>
        <w:rPr>
          <w:rFonts w:hint="eastAsia" w:ascii="Times New Roman" w:hAnsi="Times New Roman" w:eastAsia="宋体" w:cs="Times New Roman"/>
          <w:color w:val="000000"/>
          <w:szCs w:val="21"/>
        </w:rPr>
        <w:t xml:space="preserve">1、</w:t>
      </w:r>
      <w:r>
        <w:rPr>
          <w:rFonts w:hint="eastAsia" w:ascii="Times New Roman" w:hAnsi="宋体" w:eastAsia="宋体" w:cs="Times New Roman"/>
          <w:szCs w:val="24"/>
        </w:rPr>
        <w:t xml:space="preserve">甲方应保证电源质量稳定可靠，并对设备进行日常清洁保养和基本维护工作，做好故障记录。</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2、甲方应按设备使用手册的要求正确操作设备，保证设备的电、气和水的正常供应，同时保证设备开启关闭时的环境处于正常状态。</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3、甲方应按合同约定的方式和时间向乙方支付维保服务费用。</w:t>
      </w:r>
      <w:bookmarkEnd w:id="122"/>
      <w:r/>
      <w:r/>
    </w:p>
    <w:p>
      <w:pPr>
        <w:spacing w:line="360" w:lineRule="auto"/>
        <w:rPr>
          <w:rFonts w:hint="default" w:ascii="Times New Roman" w:hAnsi="宋体" w:eastAsia="宋体" w:cs="Times New Roman"/>
          <w:szCs w:val="24"/>
        </w:rPr>
      </w:pPr>
      <w:r/>
      <w:bookmarkStart w:id="123" w:name="_Hlk184061548"/>
      <w:r>
        <w:rPr>
          <w:rFonts w:hint="eastAsia" w:ascii="Times New Roman" w:hAnsi="宋体" w:eastAsia="宋体" w:cs="Times New Roman"/>
          <w:szCs w:val="24"/>
        </w:rPr>
        <w:t xml:space="preserve">五、乙方权利义务</w:t>
      </w:r>
      <w:bookmarkEnd w:id="123"/>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1、服务时间：7×24小时。</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2、为保证甲方设备的正常运行，乙方根据设备运行情况提供每年</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次定期预防性保养，由原厂工程师或原厂认证合格的工程师根据标准操作流程和测试程序完成。</w:t>
      </w:r>
      <w:bookmarkStart w:id="124" w:name="_Hlk100650363"/>
      <w:r>
        <w:rPr>
          <w:rFonts w:hint="eastAsia" w:ascii="Times New Roman" w:hAnsi="Times New Roman" w:eastAsia="宋体" w:cs="Times New Roman"/>
          <w:color w:val="000000"/>
          <w:szCs w:val="21"/>
        </w:rPr>
        <w:t xml:space="preserve">保修期结束前一个月内，乙方通知甲方并安排最后一次预防性保养。</w:t>
      </w:r>
      <w:bookmarkEnd w:id="124"/>
      <w:r>
        <w:rPr>
          <w:rFonts w:hint="eastAsia" w:ascii="Times New Roman" w:hAnsi="Times New Roman" w:eastAsia="宋体" w:cs="Times New Roman"/>
          <w:color w:val="000000"/>
          <w:szCs w:val="21"/>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3、如设备发生故障，乙方在接到甲方报修电话后</w:t>
      </w:r>
      <w:r>
        <w:rPr>
          <w:rFonts w:hint="eastAsia" w:cs="Times New Roman"/>
          <w:color w:val="000000"/>
          <w:szCs w:val="21"/>
          <w:lang w:val="en-US" w:eastAsia="zh-CN"/>
        </w:rPr>
        <w:t xml:space="preserve">2</w:t>
      </w:r>
      <w:r>
        <w:rPr>
          <w:rFonts w:hint="eastAsia" w:ascii="Times New Roman" w:hAnsi="Times New Roman" w:eastAsia="宋体" w:cs="Times New Roman"/>
          <w:color w:val="000000"/>
          <w:szCs w:val="21"/>
        </w:rPr>
        <w:t xml:space="preserve">小时之内响应，</w:t>
      </w:r>
      <w:r>
        <w:rPr>
          <w:rFonts w:hint="default"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小时内到达甲方现场（若本地无维修站点，2</w:t>
      </w:r>
      <w:r>
        <w:rPr>
          <w:rFonts w:hint="default"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小时内到达现场）。如若乙方在4</w:t>
      </w:r>
      <w:r>
        <w:rPr>
          <w:rFonts w:hint="default" w:ascii="Times New Roman" w:hAnsi="Times New Roman" w:eastAsia="宋体" w:cs="Times New Roman"/>
          <w:color w:val="000000"/>
          <w:szCs w:val="21"/>
        </w:rPr>
        <w:t xml:space="preserve">8</w:t>
      </w:r>
      <w:r>
        <w:rPr>
          <w:rFonts w:hint="eastAsia" w:ascii="Times New Roman" w:hAnsi="Times New Roman" w:eastAsia="宋体" w:cs="Times New Roman"/>
          <w:color w:val="000000"/>
          <w:szCs w:val="21"/>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、乙方在设备故障维修中，必须免费更换保修范围内的设备备件，并承担维修期间的往返费、人工费、维修所需备件的搬运费、安装调试费以及系统软件升级等一切费用。</w:t>
      </w:r>
      <w:r>
        <w:rPr>
          <w:rFonts w:hint="eastAsia" w:ascii="Times New Roman" w:hAnsi="Times New Roman" w:eastAsia="宋体" w:cs="Times New Roman"/>
          <w:color w:val="000000"/>
          <w:szCs w:val="21"/>
          <w:lang w:val="en-US" w:eastAsia="zh-CN"/>
        </w:rPr>
        <w:t xml:space="preserve">更换的设备备件</w:t>
      </w:r>
      <w:r>
        <w:rPr>
          <w:rFonts w:hint="eastAsia"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lang w:val="en-US" w:eastAsia="zh-CN"/>
        </w:rPr>
        <w:t xml:space="preserve">应</w:t>
      </w:r>
      <w:r>
        <w:rPr>
          <w:rFonts w:hint="eastAsia" w:ascii="Times New Roman" w:hAnsi="Times New Roman" w:eastAsia="宋体" w:cs="Times New Roman"/>
          <w:color w:val="000000"/>
          <w:szCs w:val="21"/>
        </w:rPr>
        <w:t xml:space="preserve">提供原设备制造商认可</w:t>
      </w:r>
      <w:r>
        <w:rPr>
          <w:rFonts w:hint="eastAsia" w:ascii="Times New Roman" w:hAnsi="Times New Roman" w:eastAsia="宋体" w:cs="Times New Roman"/>
          <w:color w:val="000000"/>
          <w:szCs w:val="21"/>
          <w:lang w:val="en-US" w:eastAsia="zh-CN"/>
        </w:rPr>
        <w:t xml:space="preserve">并能用于原设备的相关证件</w:t>
      </w:r>
      <w:r>
        <w:rPr>
          <w:rFonts w:hint="eastAsia" w:ascii="Times New Roman" w:hAnsi="Times New Roman" w:eastAsia="宋体" w:cs="Times New Roman"/>
          <w:color w:val="000000"/>
          <w:szCs w:val="21"/>
        </w:rPr>
        <w:t xml:space="preserve">（进口产品需提供报关单）</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如乙方无法提供原装</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的，经甲方认可后可换用与原装</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质量性能相当的替代</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w:t>
      </w:r>
      <w:r/>
    </w:p>
    <w:p>
      <w:pPr>
        <w:ind w:firstLine="420"/>
        <w:spacing w:line="360" w:lineRule="auto"/>
        <w:rPr>
          <w:rFonts w:hint="default" w:ascii="Times New Roman" w:hAnsi="Times New Roman" w:eastAsia="宋体" w:cs="Times New Roman"/>
          <w:color w:val="000000"/>
          <w:szCs w:val="21"/>
          <w:lang w:val="en-US"/>
        </w:rPr>
      </w:pP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、乙方承诺：一年内开机率保证在</w:t>
      </w:r>
      <w:r>
        <w:rPr>
          <w:rFonts w:hint="default" w:ascii="Times New Roman" w:hAnsi="Times New Roman" w:eastAsia="宋体" w:cs="Times New Roman"/>
          <w:color w:val="000000"/>
          <w:szCs w:val="21"/>
        </w:rPr>
        <w:t xml:space="preserve">95</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 </w:t>
      </w:r>
      <w:r>
        <w:rPr>
          <w:rFonts w:hint="eastAsia" w:ascii="Times New Roman" w:hAnsi="Times New Roman" w:eastAsia="宋体" w:cs="Times New Roman"/>
          <w:color w:val="000000"/>
          <w:szCs w:val="21"/>
        </w:rPr>
        <w:t xml:space="preserve">以上</w:t>
      </w:r>
      <w:r>
        <w:rPr>
          <w:rFonts w:hint="eastAsia" w:cs="Times New Roman"/>
          <w:color w:val="000000"/>
          <w:szCs w:val="21"/>
          <w:lang w:eastAsia="zh-CN"/>
        </w:rPr>
        <w:t xml:space="preserve">，(按照365天/年计)</w:t>
      </w:r>
      <w:r>
        <w:rPr>
          <w:rFonts w:hint="eastAsia" w:ascii="Times New Roman" w:hAnsi="Times New Roman" w:eastAsia="宋体" w:cs="Times New Roman"/>
          <w:color w:val="000000"/>
          <w:szCs w:val="21"/>
        </w:rPr>
        <w:t xml:space="preserve">，即正常开机达到347天/年，停机时间不超过</w:t>
      </w:r>
      <w:r>
        <w:rPr>
          <w:rFonts w:hint="default" w:ascii="Times New Roman" w:hAnsi="Times New Roman" w:eastAsia="宋体" w:cs="Times New Roman"/>
          <w:color w:val="000000"/>
          <w:szCs w:val="21"/>
        </w:rPr>
        <w:t xml:space="preserve">18</w:t>
      </w:r>
      <w:r>
        <w:rPr>
          <w:rFonts w:hint="eastAsia" w:ascii="Times New Roman" w:hAnsi="Times New Roman" w:eastAsia="宋体" w:cs="Times New Roman"/>
          <w:color w:val="000000"/>
          <w:szCs w:val="21"/>
        </w:rPr>
        <w:t xml:space="preserve">天</w:t>
      </w:r>
      <w:r>
        <w:rPr>
          <w:rFonts w:hint="eastAsia" w:cs="Times New Roman"/>
          <w:color w:val="000000"/>
          <w:szCs w:val="21"/>
          <w:lang w:val="en-US" w:eastAsia="zh-CN"/>
        </w:rPr>
        <w:t xml:space="preserve">/年</w:t>
      </w:r>
      <w:r>
        <w:rPr>
          <w:rFonts w:hint="eastAsia" w:ascii="Times New Roman" w:hAnsi="Times New Roman" w:eastAsia="宋体" w:cs="Times New Roman"/>
          <w:color w:val="000000"/>
          <w:szCs w:val="21"/>
        </w:rPr>
        <w:t xml:space="preserve">，停机每超过1天，维保合同期顺延</w:t>
      </w:r>
      <w:r>
        <w:rPr>
          <w:rFonts w:hint="default" w:ascii="Times New Roman" w:hAnsi="Times New Roman" w:eastAsia="宋体" w:cs="Times New Roman"/>
          <w:color w:val="000000"/>
          <w:szCs w:val="21"/>
        </w:rPr>
        <w:t xml:space="preserve">5</w:t>
      </w:r>
      <w:r>
        <w:rPr>
          <w:rFonts w:hint="eastAsia" w:ascii="Times New Roman" w:hAnsi="Times New Roman" w:eastAsia="宋体" w:cs="Times New Roman"/>
          <w:color w:val="000000"/>
          <w:szCs w:val="21"/>
        </w:rPr>
        <w:t xml:space="preserve">天。乙方</w:t>
      </w:r>
      <w:r>
        <w:rPr>
          <w:rFonts w:hint="eastAsia" w:ascii="Times New Roman" w:hAnsi="Times New Roman" w:eastAsia="宋体" w:cs="Times New Roman"/>
          <w:color w:val="000000"/>
          <w:szCs w:val="21"/>
          <w:lang w:val="en-US" w:eastAsia="zh-CN"/>
        </w:rPr>
        <w:t xml:space="preserve">如短期内无法修复该设备，需为甲方免费提供完好备用机，直到设备修复。</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rPr>
        <w:t xml:space="preserve">、保修期内，每次故障维修及保养结束后一周内乙方必须提供维修、保养记录、质量检测记录并交甲方临床医学工程处备案登记。</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、乙方工程师至甲方维修设备，必须事先与甲方临床医学工程处取得联系，并与甲方工程师共同完成维修工作。否则引起的一切责任由乙方负责。</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8</w:t>
      </w:r>
      <w:r>
        <w:rPr>
          <w:rFonts w:hint="eastAsia" w:ascii="Times New Roman" w:hAnsi="Times New Roman" w:eastAsia="宋体" w:cs="Times New Roman"/>
          <w:color w:val="000000"/>
          <w:szCs w:val="21"/>
        </w:rPr>
        <w:t xml:space="preserve">、乙方维修人员在维修期间必须遵守院方在安全、防盗、停车、周围环境卫生及排放污物的有关规定，否则引起的一切责任由乙方负责。</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六、违约责任</w:t>
      </w:r>
      <w:r/>
    </w:p>
    <w:p>
      <w:pPr>
        <w:ind w:firstLine="420"/>
        <w:spacing w:line="360" w:lineRule="auto"/>
        <w:rPr>
          <w:rFonts w:hint="default" w:ascii="Times New Roman" w:hAnsi="宋体" w:eastAsia="宋体" w:cs="Times New Roman"/>
          <w:color w:val="auto"/>
          <w:szCs w:val="24"/>
        </w:rPr>
      </w:pPr>
      <w:r>
        <w:rPr>
          <w:rFonts w:hint="default" w:ascii="Times New Roman" w:hAnsi="宋体" w:eastAsia="宋体" w:cs="Times New Roman"/>
          <w:color w:val="auto"/>
          <w:szCs w:val="24"/>
        </w:rPr>
        <w:t xml:space="preserve">1</w:t>
      </w:r>
      <w:r>
        <w:rPr>
          <w:rFonts w:hint="eastAsia" w:ascii="Times New Roman" w:hAnsi="宋体" w:eastAsia="宋体" w:cs="Times New Roman"/>
          <w:color w:val="auto"/>
          <w:szCs w:val="24"/>
        </w:rPr>
        <w:t xml:space="preserve">、自本协议生效之日起，双方应严格依约履行。一方违约，应赔偿由此给其他方造成的损失。</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2、如果乙方没有按照合同规定进行维保服务，每逾期一日，乙方应按合同金额的1%计算，但该违约金总额不超过合同总金额的30%。乙方</w:t>
      </w:r>
      <w:bookmarkStart w:id="125" w:name="_Hlk100650392"/>
      <w:r>
        <w:rPr>
          <w:rFonts w:hint="eastAsia" w:ascii="Times New Roman" w:hAnsi="宋体" w:eastAsia="宋体" w:cs="Times New Roman"/>
          <w:color w:val="auto"/>
          <w:szCs w:val="24"/>
        </w:rPr>
        <w:t xml:space="preserve">逾期不进行维保服</w:t>
      </w:r>
      <w:bookmarkEnd w:id="125"/>
      <w:r>
        <w:rPr>
          <w:rFonts w:hint="eastAsia" w:ascii="Times New Roman" w:hAnsi="宋体" w:eastAsia="宋体" w:cs="Times New Roman"/>
          <w:color w:val="auto"/>
          <w:szCs w:val="24"/>
          <w:lang w:val="en-US" w:eastAsia="zh-CN"/>
        </w:rPr>
        <w:t xml:space="preserve">务10</w:t>
      </w:r>
      <w:r>
        <w:rPr>
          <w:rFonts w:hint="eastAsia" w:ascii="Times New Roman" w:hAnsi="宋体" w:eastAsia="宋体" w:cs="Times New Roman"/>
          <w:color w:val="auto"/>
          <w:szCs w:val="24"/>
        </w:rPr>
        <w:t xml:space="preserve">日以上的，则视乙方不能提供正常维保，甲方有权因此解除本合同</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lang w:val="en-US" w:eastAsia="zh-CN"/>
        </w:rPr>
        <w:t xml:space="preserve">同时乙方应承担</w:t>
      </w:r>
      <w:r>
        <w:rPr>
          <w:rFonts w:hint="eastAsia" w:ascii="宋体" w:hAnsi="宋体" w:eastAsia="宋体" w:cs="Times New Roman"/>
          <w:color w:val="auto"/>
          <w:szCs w:val="21"/>
        </w:rPr>
        <w:t xml:space="preserve">3</w:t>
      </w:r>
      <w:r>
        <w:rPr>
          <w:rFonts w:hint="default" w:ascii="宋体" w:hAnsi="宋体" w:eastAsia="宋体" w:cs="Times New Roman"/>
          <w:color w:val="auto"/>
          <w:szCs w:val="21"/>
        </w:rPr>
        <w:t xml:space="preserve">0</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en-US" w:eastAsia="zh-CN"/>
        </w:rPr>
        <w:t xml:space="preserve">的违约金</w:t>
      </w:r>
      <w:r>
        <w:rPr>
          <w:rFonts w:hint="eastAsia" w:ascii="宋体" w:hAnsi="宋体" w:eastAsia="宋体" w:cs="Times New Roman"/>
          <w:color w:val="auto"/>
          <w:szCs w:val="21"/>
        </w:rPr>
        <w:t xml:space="preserve">。</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color w:val="auto"/>
          <w:szCs w:val="24"/>
        </w:rPr>
        <w:t xml:space="preserve">3、乙方若违反本合同</w:t>
      </w:r>
      <w:bookmarkStart w:id="126" w:name="_Hlk100650478"/>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六</w:t>
      </w:r>
      <w:r>
        <w:rPr>
          <w:rFonts w:hint="eastAsia" w:ascii="Times New Roman" w:hAnsi="宋体" w:eastAsia="宋体" w:cs="Times New Roman"/>
          <w:color w:val="auto"/>
          <w:szCs w:val="24"/>
        </w:rPr>
        <w:t xml:space="preserve">条下相关款项、</w:t>
      </w:r>
      <w:bookmarkEnd w:id="126"/>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八</w:t>
      </w:r>
      <w:r>
        <w:rPr>
          <w:rFonts w:hint="eastAsia" w:ascii="Times New Roman" w:hAnsi="宋体" w:eastAsia="宋体" w:cs="Times New Roman"/>
          <w:color w:val="auto"/>
          <w:szCs w:val="24"/>
        </w:rPr>
        <w:t xml:space="preserve">条与第</w:t>
      </w:r>
      <w:r>
        <w:rPr>
          <w:rFonts w:hint="eastAsia" w:ascii="Times New Roman" w:hAnsi="宋体" w:eastAsia="宋体" w:cs="Times New Roman"/>
          <w:color w:val="auto"/>
          <w:szCs w:val="24"/>
          <w:lang w:val="en-US" w:eastAsia="zh-CN"/>
        </w:rPr>
        <w:t xml:space="preserve">九</w:t>
      </w:r>
      <w:r>
        <w:rPr>
          <w:rFonts w:hint="eastAsia" w:ascii="Times New Roman" w:hAnsi="宋体" w:eastAsia="宋体" w:cs="Times New Roman"/>
          <w:color w:val="auto"/>
          <w:szCs w:val="24"/>
        </w:rPr>
        <w:t xml:space="preserve">条视为对本合同的重大违约</w:t>
      </w:r>
      <w:r>
        <w:rPr>
          <w:rFonts w:hint="eastAsia" w:ascii="Times New Roman" w:hAnsi="宋体" w:eastAsia="宋体" w:cs="Times New Roman"/>
          <w:szCs w:val="24"/>
        </w:rPr>
        <w:t xml:space="preserve">，甲方随时有权书面通知乙方立即解除本合同。</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4、因乙方的违约行为给甲方造成损失的（包括所有直接或间接损失），如果违约金不足以补偿该损失的，甲方有权继续要求乙方赔偿甲方所有实际损失，并保留申诉的权利。</w:t>
      </w:r>
      <w:r/>
    </w:p>
    <w:p>
      <w:pPr>
        <w:spacing w:line="360" w:lineRule="auto"/>
        <w:rPr>
          <w:rFonts w:hint="default" w:ascii="Times New Roman" w:hAnsi="宋体" w:eastAsia="宋体" w:cs="Times New Roman"/>
          <w:szCs w:val="24"/>
        </w:rPr>
      </w:pPr>
      <w:r/>
      <w:bookmarkStart w:id="127" w:name="_Hlk100650496"/>
      <w:r>
        <w:rPr>
          <w:rFonts w:hint="eastAsia" w:ascii="Times New Roman" w:hAnsi="宋体" w:eastAsia="宋体" w:cs="Times New Roman"/>
          <w:szCs w:val="24"/>
        </w:rPr>
        <w:t xml:space="preserve">七、不可抗力条款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int="default" w:ascii="Times New Roman" w:hAnsi="宋体" w:eastAsia="宋体" w:cs="Times New Roman"/>
          <w:szCs w:val="24"/>
        </w:rPr>
        <w:t xml:space="preserve">5</w:t>
      </w:r>
      <w:r>
        <w:rPr>
          <w:rFonts w:hint="eastAsia" w:ascii="Times New Roman" w:hAnsi="宋体" w:eastAsia="宋体" w:cs="Times New Roman"/>
          <w:szCs w:val="24"/>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27"/>
      <w:r/>
      <w:r/>
    </w:p>
    <w:p>
      <w:pPr>
        <w:spacing w:line="360" w:lineRule="auto"/>
        <w:tabs>
          <w:tab w:val="left" w:pos="420" w:leader="none"/>
        </w:tabs>
        <w:rPr>
          <w:rFonts w:hint="default" w:ascii="Times New Roman" w:hAnsi="宋体" w:eastAsia="宋体" w:cs="Times New Roman"/>
          <w:szCs w:val="24"/>
        </w:rPr>
      </w:pPr>
      <w:r>
        <w:rPr>
          <w:rFonts w:hint="eastAsia" w:ascii="Times New Roman" w:hAnsi="宋体" w:eastAsia="宋体" w:cs="Times New Roman"/>
          <w:szCs w:val="24"/>
        </w:rPr>
        <w:t xml:space="preserve">八、保密条款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2、双方应确保己方人员遵守本条约定保密义务，否则由此产生的一切后果由违约方承担责任。</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3、本条约定在本协议解除、终止或被认为无效后仍然有效。</w:t>
      </w:r>
      <w:r/>
    </w:p>
    <w:p>
      <w:pPr>
        <w:spacing w:line="360" w:lineRule="auto"/>
        <w:rPr>
          <w:rFonts w:hint="default" w:ascii="Times New Roman" w:hAnsi="宋体" w:eastAsia="宋体" w:cs="Times New Roman"/>
          <w:szCs w:val="24"/>
        </w:rPr>
      </w:pPr>
      <w:r/>
      <w:bookmarkStart w:id="128" w:name="_Hlk184062533"/>
      <w:r>
        <w:rPr>
          <w:rFonts w:hint="eastAsia" w:ascii="宋体" w:hAnsi="宋体" w:eastAsia="宋体" w:cs="Times New Roman"/>
          <w:szCs w:val="21"/>
        </w:rPr>
        <w:t xml:space="preserve">九、</w:t>
      </w:r>
      <w:r>
        <w:rPr>
          <w:rFonts w:hint="eastAsia" w:ascii="Times New Roman" w:hAnsi="宋体" w:eastAsia="宋体" w:cs="Times New Roman"/>
          <w:szCs w:val="24"/>
        </w:rPr>
        <w:t xml:space="preserve">廉洁条款</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甲乙双方须遵守《</w:t>
      </w:r>
      <w:r>
        <w:rPr>
          <w:rFonts w:hint="eastAsia" w:hAnsi="宋体" w:cs="Times New Roman"/>
          <w:szCs w:val="24"/>
          <w:lang w:eastAsia="zh-CN"/>
        </w:rPr>
        <w:t xml:space="preserve"> 泰兴市人民医院</w:t>
      </w:r>
      <w:r>
        <w:rPr>
          <w:rFonts w:hint="eastAsia" w:ascii="Times New Roman" w:hAnsi="宋体" w:eastAsia="宋体" w:cs="Times New Roman"/>
          <w:szCs w:val="24"/>
        </w:rPr>
        <w:t xml:space="preserve">医药产品购销廉洁合约》，合约内容如下：</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为进一步加强医疗卫生行风建设，规范医疗卫生机构医药购销行为，有效防范商业贿赂行为，营造公平交易、诚实守信的购销环境，经甲、乙双方协商，同意签订本合约，并共同遵守：</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1、甲乙双方按照《民法典》及医药产品购销合同约定购销药品、医用设备、医用耗材等医药产品。</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2、甲乙双方应当严格执行医药产品购销合同验收、入库制度，对采购医药产品及发票进行查验，不得违反有关规定合同外采购供应、违价采购供应或从非规定渠道采购供应。 </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4、严禁甲方工作人员利用任何途径和方式，为乙方统计医师个人及临床科室有关医药产品用量信息，或为乙方统计提供便利。</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5、乙方不得以回扣、宴请等方式影响甲方工作人员采购或使用医药产品的选择权，乙方不得组织甲方参加旅游、娱乐、宴请等非公务活动。</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6、乙方指定销售代表必须在工作时间到甲方指定地点联系商谈，不得到住院部、门诊部、医技科室等推销医药产品，不得借故到甲方相关领导、部门负责人及相关工作人员家中访谈并提供任何好处费。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7、乙方如违反本合约，一经发现，甲方有权终止购销合同，并向有关上级主管部门报告。如乙方被列入商业贿赂不良记录，则严格按照国家相关规定处理。</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8、本合约作为医药产品购销合同的重要组成部分，与购销合同一并执行，具有同等的法律效力。</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9、本条例</w:t>
      </w:r>
      <w:r>
        <w:rPr>
          <w:rFonts w:hint="eastAsia" w:ascii="Times New Roman" w:hAnsi="宋体" w:eastAsia="宋体" w:cs="Times New Roman"/>
          <w:szCs w:val="24"/>
          <w:lang w:val="en-US" w:eastAsia="zh-CN"/>
        </w:rPr>
        <w:t xml:space="preserve">由</w:t>
      </w:r>
      <w:r>
        <w:rPr>
          <w:rFonts w:hint="eastAsia" w:hAnsi="宋体" w:cs="Times New Roman"/>
          <w:szCs w:val="24"/>
          <w:lang w:eastAsia="zh-CN"/>
        </w:rPr>
        <w:t xml:space="preserve"> 泰兴市人民医院</w:t>
      </w:r>
      <w:r>
        <w:rPr>
          <w:rFonts w:hint="eastAsia" w:ascii="Times New Roman" w:hAnsi="宋体" w:eastAsia="宋体" w:cs="Times New Roman"/>
          <w:szCs w:val="24"/>
        </w:rPr>
        <w:t xml:space="preserve">负责解释。</w:t>
      </w:r>
      <w:bookmarkEnd w:id="128"/>
      <w:r/>
      <w:r/>
    </w:p>
    <w:p>
      <w:pPr>
        <w:spacing w:line="360" w:lineRule="auto"/>
        <w:rPr>
          <w:rFonts w:hint="default" w:ascii="Times New Roman" w:hAnsi="Times New Roman" w:eastAsia="宋体" w:cs="Times New Roman"/>
          <w:color w:val="000000"/>
          <w:szCs w:val="21"/>
        </w:rPr>
      </w:pPr>
      <w:r/>
      <w:bookmarkStart w:id="129" w:name="_Hlk184062763"/>
      <w:r>
        <w:rPr>
          <w:rFonts w:hint="eastAsia" w:ascii="Times New Roman" w:hAnsi="Times New Roman" w:eastAsia="宋体" w:cs="Times New Roman"/>
          <w:color w:val="000000"/>
          <w:szCs w:val="21"/>
        </w:rPr>
        <w:t xml:space="preserve">十、争议解决：因本合同签订以及履行过程所产生的任何纠纷，双方友好协商解决，未能协商一致的，可至甲方所在地有管辖权的法院起诉。</w:t>
      </w:r>
      <w:bookmarkEnd w:id="129"/>
      <w:r/>
      <w:r/>
    </w:p>
    <w:p>
      <w:pPr>
        <w:spacing w:line="360" w:lineRule="auto"/>
        <w:rPr>
          <w:rFonts w:hint="default" w:ascii="Times New Roman" w:hAnsi="宋体" w:eastAsia="宋体" w:cs="Times New Roman"/>
          <w:szCs w:val="24"/>
        </w:rPr>
      </w:pPr>
      <w:r/>
      <w:bookmarkStart w:id="130" w:name="_Hlk100650549"/>
      <w:r>
        <w:rPr>
          <w:rFonts w:hint="eastAsia" w:ascii="Times New Roman" w:hAnsi="宋体" w:eastAsia="宋体" w:cs="Times New Roman"/>
          <w:szCs w:val="24"/>
        </w:rPr>
        <w:t xml:space="preserve">十一、合同的解除条款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本合同第九条下解约事由与法定解约事由出现后，解约方有权提前三个工作日书面通知对方解约，自通知送达之日起，本合同解除。</w:t>
      </w:r>
      <w:bookmarkEnd w:id="130"/>
      <w:r/>
      <w:r/>
    </w:p>
    <w:p>
      <w:pPr>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十二、其他条款</w:t>
      </w:r>
      <w:r/>
    </w:p>
    <w:p>
      <w:pPr>
        <w:ind w:firstLine="420"/>
        <w:spacing w:line="360" w:lineRule="auto"/>
        <w:rPr>
          <w:rFonts w:hint="default" w:ascii="Times New Roman" w:hAnsi="宋体" w:eastAsia="宋体" w:cs="Times New Roman"/>
          <w:szCs w:val="24"/>
        </w:rPr>
      </w:pPr>
      <w:r/>
      <w:bookmarkStart w:id="131" w:name="_Hlk100650600"/>
      <w:r>
        <w:rPr>
          <w:rFonts w:hint="eastAsia" w:ascii="Times New Roman" w:hAnsi="宋体" w:eastAsia="宋体" w:cs="Times New Roman"/>
          <w:szCs w:val="24"/>
        </w:rPr>
        <w:t xml:space="preserve">1、本项目招标文件、投标文件、合同及其附件、其他承诺为本项目不可分割的组成部分，具有同等法律效力。</w:t>
      </w:r>
      <w:bookmarkEnd w:id="131"/>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2、本合同一式肆份，甲方执叁份，乙方执壹份，经双方签字盖章并加盖骑缝章后生效，未经事宜双方协商解决。</w:t>
      </w:r>
      <w:r/>
    </w:p>
    <w:p>
      <w:pPr>
        <w:ind w:firstLine="420"/>
        <w:spacing w:line="380" w:lineRule="exact"/>
        <w:rPr>
          <w:rFonts w:hint="default" w:ascii="Times New Roman" w:hAnsi="宋体" w:eastAsia="宋体" w:cs="Times New Roman"/>
          <w:szCs w:val="24"/>
        </w:rPr>
      </w:pPr>
      <w:r/>
      <w:bookmarkStart w:id="132" w:name="_Hlk100650618"/>
      <w:r>
        <w:rPr>
          <w:rFonts w:hint="eastAsia" w:ascii="Times New Roman" w:hAnsi="宋体" w:eastAsia="宋体" w:cs="Times New Roman"/>
          <w:szCs w:val="24"/>
        </w:rPr>
        <w:t xml:space="preserve">3、本合同适用的语言文字为汉语文字，本合同适用法律法规为中华人民共和国及其区域内相关法律法规，本合同条款解释语言以中文为准。</w:t>
      </w:r>
      <w:bookmarkEnd w:id="132"/>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u w:val="single"/>
        </w:rPr>
        <w:t xml:space="preserve">     </w:t>
      </w:r>
      <w:r>
        <w:rPr>
          <w:rFonts w:hint="eastAsia" w:ascii="Times New Roman" w:hAnsi="宋体" w:eastAsia="宋体" w:cs="Times New Roman"/>
          <w:szCs w:val="24"/>
          <w:u w:val="single"/>
        </w:rPr>
        <w:t xml:space="preserve"> </w:t>
      </w:r>
      <w:r>
        <w:rPr>
          <w:rFonts w:hint="eastAsia" w:hAnsi="宋体" w:cs="Times New Roman"/>
          <w:szCs w:val="24"/>
          <w:u w:val="single"/>
          <w:lang w:eastAsia="zh-CN"/>
        </w:rPr>
        <w:t xml:space="preserve"> 泰兴市人民医院</w:t>
      </w:r>
      <w:r>
        <w:rPr>
          <w:rFonts w:hint="eastAsia"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rPr>
        <w:t xml:space="preserve">（盖章）</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乙方</w:t>
      </w:r>
      <w:r>
        <w:rPr>
          <w:rFonts w:hint="eastAsia" w:ascii="Times New Roman" w:hAnsi="Times New Roman" w:eastAsia="宋体" w:cs="Times New Roman"/>
          <w:color w:val="000000"/>
          <w:szCs w:val="21"/>
        </w:rPr>
        <w:t xml:space="preserve">：</w:t>
      </w:r>
      <w:r>
        <w:rPr>
          <w:rFonts w:hint="eastAsia" w:ascii="楷体_GB2312" w:hAnsi="Times New Roman" w:eastAsia="楷体_GB2312" w:cs="Times New Roman"/>
          <w:color w:val="000000"/>
          <w:szCs w:val="21"/>
          <w:u w:val="single"/>
        </w:rPr>
        <w:t xml:space="preserve"> </w:t>
      </w:r>
      <w:r>
        <w:rPr>
          <w:rFonts w:hint="default" w:ascii="楷体_GB2312" w:hAnsi="Times New Roman" w:eastAsia="楷体_GB2312" w:cs="Times New Roman"/>
          <w:color w:val="000000"/>
          <w:szCs w:val="21"/>
          <w:u w:val="single"/>
        </w:rPr>
        <w:t xml:space="preserve">            </w:t>
      </w:r>
      <w:r>
        <w:rPr>
          <w:rFonts w:hint="eastAsia" w:ascii="Times New Roman" w:hAnsi="Times New Roman" w:eastAsia="宋体" w:cs="Times New Roman"/>
          <w:color w:val="000000"/>
          <w:szCs w:val="24"/>
          <w:u w:val="single"/>
        </w:rPr>
        <w:t xml:space="preserve"> </w:t>
      </w:r>
      <w:r>
        <w:rPr>
          <w:rFonts w:hint="eastAsia" w:ascii="Times New Roman" w:hAnsi="Times New Roman" w:eastAsia="宋体" w:cs="Times New Roman"/>
          <w:color w:val="000000"/>
          <w:szCs w:val="21"/>
        </w:rPr>
        <w:t xml:space="preserve">（盖章）</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地址：</w:t>
      </w:r>
      <w:r>
        <w:rPr>
          <w:rFonts w:hint="eastAsia" w:ascii="楷体_GB2312" w:hAnsi="Times New Roman" w:eastAsia="楷体_GB2312" w:cs="Times New Roman"/>
          <w:color w:val="000000"/>
          <w:szCs w:val="21"/>
          <w:u w:val="single"/>
        </w:rPr>
        <w:t xml:space="preserve"> </w:t>
      </w:r>
      <w:r>
        <w:rPr>
          <w:rFonts w:hint="eastAsia" w:ascii="楷体_GB2312" w:eastAsia="楷体_GB2312"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地址</w:t>
      </w:r>
      <w:r>
        <w:rPr>
          <w:rFonts w:hint="eastAsia" w:ascii="Times New Roman" w:hAnsi="Times New Roman" w:eastAsia="宋体" w:cs="Times New Roman"/>
          <w:color w:val="000000"/>
          <w:szCs w:val="21"/>
        </w:rPr>
        <w:t xml:space="preserve">：</w:t>
      </w:r>
      <w:r>
        <w:rPr>
          <w:rFonts w:hint="eastAsia" w:ascii="楷体_GB2312" w:hAnsi="Times New Roman" w:eastAsia="楷体_GB2312" w:cs="Times New Roman"/>
          <w:color w:val="000000"/>
          <w:szCs w:val="21"/>
          <w:u w:val="single"/>
        </w:rPr>
        <w:t xml:space="preserve"> </w:t>
      </w:r>
      <w:r>
        <w:rPr>
          <w:rFonts w:hint="default" w:ascii="楷体_GB2312" w:hAnsi="Times New Roman" w:eastAsia="楷体_GB2312" w:cs="Times New Roman"/>
          <w:color w:val="000000"/>
          <w:szCs w:val="21"/>
          <w:u w:val="single"/>
        </w:rPr>
        <w:t xml:space="preserve">                   </w:t>
      </w:r>
      <w:r>
        <w:rPr>
          <w:rFonts w:hint="eastAsia" w:ascii="楷体_GB2312" w:hAnsi="Times New Roman" w:eastAsia="楷体_GB2312" w:cs="Times New Roman"/>
          <w:color w:val="000000"/>
          <w:szCs w:val="21"/>
          <w:u w:val="single"/>
        </w:rPr>
        <w:t xml:space="preserve"> </w:t>
      </w:r>
      <w:r>
        <w:rPr>
          <w:rFonts w:hint="eastAsia" w:ascii="Times New Roman" w:hAnsi="Times New Roman" w:eastAsia="宋体" w:cs="Times New Roman"/>
          <w:color w:val="000000"/>
          <w:sz w:val="18"/>
          <w:szCs w:val="18"/>
          <w:u w:val="single"/>
        </w:rPr>
        <w:t xml:space="preserve"> </w:t>
      </w:r>
      <w:r/>
    </w:p>
    <w:p>
      <w:pPr>
        <w:spacing w:line="360" w:lineRule="auto"/>
        <w:rPr>
          <w:rFonts w:hint="eastAsia" w:ascii="宋体" w:hAnsi="宋体" w:eastAsia="宋体" w:cs="Times New Roman"/>
          <w:bCs/>
          <w:iCs/>
          <w:color w:val="000000"/>
          <w:sz w:val="22"/>
          <w:szCs w:val="24"/>
          <w:u w:val="single"/>
        </w:rPr>
      </w:pPr>
      <w:r>
        <w:rPr>
          <w:rFonts w:hint="eastAsia" w:ascii="Times New Roman" w:hAnsi="Times New Roman" w:eastAsia="宋体" w:cs="Times New Roman"/>
          <w:color w:val="000000"/>
          <w:szCs w:val="21"/>
        </w:rPr>
        <w:t xml:space="preserve">联系方式：</w:t>
      </w:r>
      <w:r>
        <w:rPr>
          <w:rFonts w:hint="eastAsia"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w:t>
      </w:r>
      <w:r>
        <w:rPr>
          <w:rFonts w:hint="eastAsia" w:cs="Times New Roman"/>
          <w:color w:val="000000"/>
          <w:szCs w:val="21"/>
          <w:lang w:val="en-US" w:eastAsia="zh-CN"/>
        </w:rPr>
        <w:t xml:space="preserve">      </w:t>
      </w:r>
      <w:r>
        <w:rPr>
          <w:rFonts w:hint="eastAsia" w:ascii="Times New Roman" w:hAnsi="Times New Roman" w:eastAsia="宋体" w:cs="Times New Roman"/>
          <w:color w:val="000000"/>
          <w:szCs w:val="21"/>
          <w:lang w:val="en-US" w:eastAsia="zh-CN"/>
        </w:rPr>
        <w:t xml:space="preserve">联系方式</w:t>
      </w:r>
      <w:r>
        <w:rPr>
          <w:rFonts w:hint="eastAsia" w:ascii="楷体_GB2312" w:hAnsi="Times New Roman" w:eastAsia="楷体_GB2312" w:cs="Times New Roman"/>
          <w:color w:val="000000"/>
          <w:szCs w:val="21"/>
          <w:u w:val="single"/>
        </w:rPr>
        <w:t xml:space="preserve">：</w:t>
      </w:r>
      <w:r>
        <w:rPr>
          <w:rFonts w:hint="default" w:ascii="楷体_GB2312" w:hAnsi="Times New Roman" w:eastAsia="楷体_GB2312" w:cs="Times New Roman"/>
          <w:color w:val="000000"/>
          <w:szCs w:val="21"/>
          <w:u w:val="single"/>
        </w:rPr>
        <w:t xml:space="preserve">             </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甲方法定代表人</w:t>
      </w:r>
      <w:r>
        <w:rPr>
          <w:rFonts w:hint="eastAsia" w:ascii="Times New Roman" w:hAnsi="Times New Roman" w:eastAsia="宋体" w:cs="Times New Roman"/>
          <w:color w:val="000000"/>
          <w:szCs w:val="21"/>
          <w:lang w:eastAsia="zh-CN"/>
        </w:rPr>
        <w:t xml:space="preserve">：</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乙方法定代表人</w:t>
      </w:r>
      <w:r>
        <w:rPr>
          <w:rFonts w:hint="eastAsia" w:ascii="Times New Roman" w:hAnsi="Times New Roman" w:eastAsia="宋体" w:cs="Times New Roman"/>
          <w:color w:val="000000"/>
          <w:szCs w:val="21"/>
          <w:lang w:eastAsia="zh-CN"/>
        </w:rPr>
        <w:t xml:space="preserve">：</w:t>
      </w:r>
      <w:r>
        <w:rPr>
          <w:rFonts w:hint="default" w:ascii="Times New Roman" w:hAnsi="Times New Roman" w:eastAsia="宋体" w:cs="Times New Roman"/>
          <w:color w:val="000000"/>
          <w:szCs w:val="21"/>
        </w:rPr>
        <w:t xml:space="preserve"> </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或授权委托人：</w:t>
      </w:r>
      <w:r>
        <w:rPr>
          <w:rFonts w:hint="default" w:ascii="Times New Roman" w:hAnsi="Times New Roman" w:eastAsia="宋体" w:cs="Times New Roman"/>
          <w:color w:val="000000"/>
          <w:szCs w:val="21"/>
        </w:rPr>
        <w:t xml:space="preserve">______________________           </w:t>
      </w:r>
      <w:r>
        <w:rPr>
          <w:rFonts w:hint="eastAsia" w:ascii="Times New Roman" w:hAnsi="Times New Roman" w:eastAsia="宋体" w:cs="Times New Roman"/>
          <w:color w:val="000000"/>
          <w:szCs w:val="21"/>
        </w:rPr>
        <w:t xml:space="preserve">或授权委托人：</w:t>
      </w:r>
      <w:r>
        <w:rPr>
          <w:rFonts w:hint="default" w:ascii="Times New Roman" w:hAnsi="Times New Roman" w:eastAsia="宋体" w:cs="Times New Roman"/>
          <w:color w:val="000000"/>
          <w:szCs w:val="21"/>
        </w:rPr>
        <w:t xml:space="preserve">_____________________                                                  </w:t>
      </w:r>
      <w:r/>
    </w:p>
    <w:p>
      <w:pPr>
        <w:spacing w:line="360" w:lineRule="auto"/>
        <w:rPr>
          <w:rFonts w:hint="eastAsia" w:ascii="Times New Roman" w:hAnsi="Times New Roman" w:eastAsia="宋体" w:cs="Times New Roman"/>
          <w:color w:val="000000"/>
          <w:szCs w:val="21"/>
          <w:u w:val="single"/>
        </w:rPr>
      </w:pPr>
      <w:r>
        <w:rPr>
          <w:rFonts w:hint="eastAsia" w:ascii="Times New Roman" w:hAnsi="Times New Roman" w:eastAsia="宋体" w:cs="Times New Roman"/>
          <w:color w:val="000000"/>
          <w:szCs w:val="21"/>
        </w:rPr>
        <w:t xml:space="preserve">日期：</w:t>
      </w:r>
      <w:r>
        <w:rPr>
          <w:rFonts w:hint="default" w:ascii="Times New Roman" w:hAnsi="Times New Roman" w:eastAsia="宋体" w:cs="Times New Roman"/>
          <w:color w:val="000000"/>
          <w:szCs w:val="21"/>
        </w:rPr>
        <w:t xml:space="preserve">______________________________           </w:t>
      </w:r>
      <w:r>
        <w:rPr>
          <w:rFonts w:hint="eastAsia" w:ascii="Times New Roman" w:hAnsi="Times New Roman" w:eastAsia="宋体" w:cs="Times New Roman"/>
          <w:color w:val="000000"/>
          <w:szCs w:val="21"/>
        </w:rPr>
        <w:t xml:space="preserve">日期：</w:t>
      </w:r>
      <w:r>
        <w:rPr>
          <w:rFonts w:hint="default" w:ascii="Times New Roman" w:hAnsi="Times New Roman" w:eastAsia="宋体" w:cs="Times New Roman"/>
          <w:color w:val="000000"/>
          <w:szCs w:val="21"/>
          <w:u w:val="single"/>
        </w:rPr>
        <w:t xml:space="preserve">                           </w:t>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pStyle w:val="970"/>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center"/>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center"/>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投标文件</w:t>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 </w:t>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 </w:t>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0"/>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0"/>
        <w:ind w:firstLine="108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项 目 名 称：</w:t>
      </w:r>
      <w:r>
        <w:rPr>
          <w:rFonts w:hint="eastAsia" w:ascii="宋体" w:hAnsi="宋体" w:eastAsia="宋体" w:cs="宋体"/>
          <w:b/>
          <w:bCs/>
          <w:color w:val="000000"/>
          <w:sz w:val="36"/>
          <w:szCs w:val="36"/>
          <w:highlight w:val="none"/>
          <w:u w:val="single"/>
        </w:rPr>
        <w:t xml:space="preserve">          </w:t>
      </w:r>
      <w:r/>
    </w:p>
    <w:p>
      <w:pPr>
        <w:pStyle w:val="970"/>
        <w:ind w:firstLine="108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招 标 编 号：</w:t>
      </w:r>
      <w:r>
        <w:rPr>
          <w:rFonts w:hint="eastAsia" w:ascii="宋体" w:hAnsi="宋体" w:eastAsia="宋体" w:cs="宋体"/>
          <w:b/>
          <w:bCs/>
          <w:color w:val="000000"/>
          <w:sz w:val="36"/>
          <w:szCs w:val="36"/>
          <w:highlight w:val="none"/>
          <w:u w:val="single"/>
        </w:rPr>
        <w:t xml:space="preserve">          </w:t>
      </w:r>
      <w:r/>
    </w:p>
    <w:p>
      <w:pPr>
        <w:pStyle w:val="970"/>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投标人名称 ：</w:t>
      </w:r>
      <w:r>
        <w:rPr>
          <w:rFonts w:hint="eastAsia" w:ascii="宋体" w:hAnsi="宋体" w:eastAsia="宋体" w:cs="宋体"/>
          <w:b/>
          <w:bCs/>
          <w:color w:val="000000"/>
          <w:sz w:val="36"/>
          <w:szCs w:val="36"/>
          <w:highlight w:val="none"/>
          <w:u w:val="single"/>
        </w:rPr>
        <w:t xml:space="preserve">（加盖CA电子公章）</w:t>
      </w:r>
      <w:r/>
    </w:p>
    <w:p>
      <w:pPr>
        <w:pStyle w:val="970"/>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日     期 ：</w:t>
      </w:r>
      <w:r>
        <w:rPr>
          <w:rFonts w:hint="eastAsia" w:ascii="宋体" w:hAnsi="宋体" w:eastAsia="宋体" w:cs="宋体"/>
          <w:b/>
          <w:bCs/>
          <w:color w:val="000000"/>
          <w:sz w:val="36"/>
          <w:szCs w:val="36"/>
          <w:highlight w:val="none"/>
          <w:u w:val="single"/>
        </w:rPr>
        <w:t xml:space="preserve">          </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（一）投标函(格式)：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投  标  函</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致苏美达国际技术贸易有限公司：</w:t>
      </w:r>
      <w:r/>
    </w:p>
    <w:p>
      <w:pPr>
        <w:ind w:firstLine="420"/>
        <w:jc w:val="left"/>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我方收到贵方编号</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八、如果我方被确定为</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投标人(盖章)：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法定代表人或法定代表人授权代表签字或盖章：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电话：                              传真：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通讯地址：                          邮编：</w:t>
      </w:r>
      <w:r/>
    </w:p>
    <w:p>
      <w:pPr>
        <w:spacing w:line="360" w:lineRule="auto"/>
        <w:rPr>
          <w:rFonts w:hint="eastAsia" w:ascii="宋体" w:hAnsi="宋体" w:eastAsia="宋体" w:cs="宋体"/>
          <w:bCs/>
          <w:sz w:val="24"/>
          <w:szCs w:val="24"/>
          <w:highlight w:val="none"/>
        </w:rPr>
        <w:sectPr>
          <w:headerReference w:type="default" r:id="rId11"/>
          <w:footerReference w:type="default" r:id="rId17"/>
          <w:footnotePr/>
          <w:endnotePr/>
          <w:type w:val="nextPage"/>
          <w:pgSz w:w="11907" w:h="16840" w:orient="portrait"/>
          <w:pgMar w:top="1134" w:right="1134" w:bottom="1134" w:left="1134" w:header="851" w:footer="992" w:gutter="0"/>
          <w:cols w:num="1" w:sep="0" w:space="1701" w:equalWidth="1"/>
          <w:docGrid w:linePitch="360"/>
        </w:sect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）法定代表人授权委托书(格式)：</w:t>
      </w:r>
      <w:r/>
    </w:p>
    <w:p>
      <w:pP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法定代表人授权委托书</w:t>
      </w:r>
      <w:r/>
    </w:p>
    <w:p>
      <w:pPr>
        <w:jc w:val="center"/>
        <w:spacing w:line="360" w:lineRule="auto"/>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 w:val="30"/>
          <w:highlight w:val="non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Cs w:val="21"/>
          <w:highlight w:val="none"/>
        </w:rPr>
        <w:t xml:space="preserve">           招标编号：</w:t>
      </w:r>
      <w:r/>
    </w:p>
    <w:p>
      <w:pPr>
        <w:ind w:firstLine="46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日期：</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苏美达国际技术贸易有限公司：</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系中华人民共和国合法企业，特授权</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代表我公司(单位)全权办理针对本项目</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我公司(单位)对被授权人的签名负全部责任。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被授权人情况：</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姓名：         性别：             电话：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投标人(盖章)：</w:t>
      </w:r>
      <w:r/>
    </w:p>
    <w:p>
      <w:pPr>
        <w:ind w:firstLine="357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357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法定代表人(签字或盖章)：</w:t>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95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投标人法定代表人身份证：</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sz w:val="32"/>
          <w:szCs w:val="32"/>
          <w:highlight w:val="none"/>
        </w:rPr>
        <w:t xml:space="preserve"> </w:t>
      </w:r>
      <w:r>
        <w:rPr>
          <w:rFonts w:hint="eastAsia" w:ascii="宋体" w:hAnsi="宋体" w:eastAsia="宋体" w:cs="宋体"/>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sz w:val="24"/>
          <w:szCs w:val="24"/>
          <w:highlight w:val="none"/>
        </w:rPr>
        <w:t xml:space="preserve">       </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
          <w:bCs/>
          <w:sz w:val="24"/>
          <w:szCs w:val="24"/>
          <w:highlight w:val="none"/>
        </w:rPr>
        <w:t xml:space="preserve">法定代表人亲自参与投标的除外）</w:t>
      </w:r>
      <w:r/>
    </w:p>
    <w:p>
      <w:pPr>
        <w:pStyle w:val="950"/>
        <w:rPr>
          <w:rFonts w:hint="eastAsia" w:ascii="宋体" w:hAnsi="宋体" w:eastAsia="宋体" w:cs="宋体"/>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414270"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397125"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）开标一览表(</w:t>
      </w:r>
      <w:r>
        <w:rPr>
          <w:rFonts w:hint="eastAsia" w:ascii="宋体" w:hAnsi="宋体" w:eastAsia="宋体" w:cs="宋体"/>
          <w:b/>
          <w:sz w:val="24"/>
          <w:szCs w:val="24"/>
          <w:highlight w:val="none"/>
          <w:lang w:val="en-US" w:eastAsia="zh-CN"/>
        </w:rPr>
        <w:t xml:space="preserve">系统生成</w:t>
      </w:r>
      <w:r>
        <w:rPr>
          <w:rFonts w:hint="eastAsia" w:ascii="宋体" w:hAnsi="宋体" w:eastAsia="宋体" w:cs="宋体"/>
          <w:b/>
          <w:sz w:val="24"/>
          <w:szCs w:val="24"/>
          <w:highlight w:val="none"/>
        </w:rPr>
        <w:t xml:space="preserve">)：</w:t>
      </w:r>
      <w:r/>
    </w:p>
    <w:p>
      <w:pPr>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sz w:val="36"/>
          <w:szCs w:val="28"/>
          <w:lang w:val="en-US" w:eastAsia="zh-CN"/>
        </w:rPr>
      </w:pPr>
      <w:r>
        <w:rPr>
          <w:rFonts w:hint="eastAsia" w:ascii="宋体" w:hAnsi="宋体" w:eastAsia="宋体" w:cs="宋体"/>
          <w:szCs w:val="21"/>
          <w:highlight w:val="none"/>
        </w:rPr>
        <w:t xml:space="preserve">投标人名称（盖章）                              招标编号：</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tbl>
      <w:tblPr>
        <w:tblStyle w:val="88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服务期限 </w:t>
            </w:r>
            <w:r/>
          </w:p>
        </w:tc>
        <w:tc>
          <w:tcPr>
            <w:tcW w:w="7560" w:type="dxa"/>
            <w:vAlign w:val="center"/>
            <w:textDirection w:val="lrTb"/>
            <w:noWrap w:val="false"/>
          </w:tcPr>
          <w:p>
            <w:pPr>
              <w:ind w:firstLine="240"/>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3年</w:t>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pStyle w:val="908"/>
        <w:ind w:left="12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08"/>
        <w:ind w:left="12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08"/>
        <w:ind w:left="126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）细目报价表 (格式)：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细目报价表</w:t>
      </w:r>
      <w:r/>
    </w:p>
    <w:p>
      <w:pPr>
        <w:pStyle w:val="950"/>
        <w:rPr>
          <w:rFonts w:hint="eastAsia" w:ascii="宋体" w:hAnsi="宋体" w:eastAsia="宋体" w:cs="宋体"/>
          <w:highlight w:val="none"/>
        </w:rPr>
      </w:pPr>
      <w:r>
        <w:rPr>
          <w:rFonts w:hint="eastAsia" w:ascii="宋体" w:hAnsi="宋体" w:eastAsia="宋体" w:cs="宋体"/>
          <w:highlight w:val="none"/>
        </w:rPr>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                              招标编号：</w:t>
      </w:r>
      <w:r/>
    </w:p>
    <w:p>
      <w:pPr>
        <w:spacing w:line="240" w:lineRule="exact"/>
        <w:rPr>
          <w:rFonts w:hint="eastAsia" w:ascii="宋体" w:hAnsi="宋体" w:eastAsia="宋体" w:cs="宋体"/>
          <w:b/>
          <w:bCs/>
          <w:szCs w:val="21"/>
          <w:highlight w:val="none"/>
        </w:rPr>
        <w:outlineLvl w:val="0"/>
      </w:pPr>
      <w:r>
        <w:rPr>
          <w:rFonts w:hint="eastAsia" w:ascii="宋体" w:hAnsi="宋体" w:eastAsia="宋体" w:cs="宋体"/>
          <w:b/>
          <w:bCs/>
          <w:szCs w:val="21"/>
          <w:highlight w:val="none"/>
        </w:rPr>
      </w:r>
      <w:r/>
    </w:p>
    <w:tbl>
      <w:tblPr>
        <w:tblStyle w:val="88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1123"/>
        <w:gridCol w:w="1570"/>
        <w:gridCol w:w="970"/>
        <w:gridCol w:w="720"/>
        <w:gridCol w:w="1145"/>
        <w:gridCol w:w="900"/>
        <w:gridCol w:w="1321"/>
      </w:tblGrid>
      <w:tr>
        <w:trPr>
          <w:jc w:val="center"/>
        </w:trPr>
        <w:tc>
          <w:tcPr>
            <w:tcW w:w="761"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序号</w:t>
            </w:r>
            <w:r/>
          </w:p>
        </w:tc>
        <w:tc>
          <w:tcPr>
            <w:tcW w:w="119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维保设备名称</w:t>
            </w:r>
            <w:r/>
          </w:p>
        </w:tc>
        <w:tc>
          <w:tcPr>
            <w:tcW w:w="1123"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品牌、型号、规格</w:t>
            </w:r>
            <w:r/>
          </w:p>
        </w:tc>
        <w:tc>
          <w:tcPr>
            <w:tcW w:w="157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维保内容</w:t>
            </w:r>
            <w:r/>
          </w:p>
        </w:tc>
        <w:tc>
          <w:tcPr>
            <w:tcW w:w="97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单位</w:t>
            </w:r>
            <w:r/>
          </w:p>
        </w:tc>
        <w:tc>
          <w:tcPr>
            <w:tcW w:w="72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数量</w:t>
            </w:r>
            <w:r/>
          </w:p>
        </w:tc>
        <w:tc>
          <w:tcPr>
            <w:tcW w:w="1145"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维保单价（元）</w:t>
            </w:r>
            <w:r/>
          </w:p>
        </w:tc>
        <w:tc>
          <w:tcPr>
            <w:tcW w:w="90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维保期</w:t>
            </w:r>
            <w:r/>
          </w:p>
        </w:tc>
        <w:tc>
          <w:tcPr>
            <w:tcW w:w="1321"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维保总价（元）</w:t>
            </w:r>
            <w:r/>
          </w:p>
        </w:tc>
      </w:tr>
      <w:tr>
        <w:trPr>
          <w:jc w:val="center"/>
        </w:trPr>
        <w:tc>
          <w:tcPr>
            <w:tcW w:w="761"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Pr>
        <w:tc>
          <w:tcPr>
            <w:gridSpan w:val="9"/>
            <w:tcW w:w="9700" w:type="dxa"/>
            <w:textDirection w:val="lrTb"/>
            <w:noWrap w:val="false"/>
          </w:tcPr>
          <w:p>
            <w:pPr>
              <w:ind w:firstLine="480"/>
              <w:spacing w:line="400" w:lineRule="exact"/>
              <w:rPr>
                <w:rFonts w:hint="default" w:ascii="宋体" w:hAnsi="宋体" w:eastAsia="宋体" w:cs="Times New Roman"/>
                <w:szCs w:val="21"/>
              </w:rPr>
            </w:pPr>
            <w:r>
              <w:rPr>
                <w:rFonts w:hint="eastAsia" w:ascii="宋体" w:hAnsi="宋体" w:eastAsia="宋体" w:cs="Times New Roman"/>
                <w:szCs w:val="21"/>
              </w:rPr>
              <w:t xml:space="preserve">投标总价：</w:t>
            </w:r>
            <w:r/>
          </w:p>
          <w:p>
            <w:pPr>
              <w:ind w:firstLine="480"/>
              <w:spacing w:line="400" w:lineRule="exact"/>
              <w:rPr>
                <w:rFonts w:hint="default" w:ascii="宋体" w:hAnsi="宋体" w:eastAsia="宋体" w:cs="Times New Roman"/>
                <w:szCs w:val="21"/>
              </w:rPr>
            </w:pPr>
            <w:r>
              <w:rPr>
                <w:rFonts w:hint="eastAsia" w:ascii="宋体" w:hAnsi="宋体" w:eastAsia="宋体" w:cs="Times New Roman"/>
                <w:szCs w:val="21"/>
              </w:rPr>
              <w:t xml:space="preserve">金额大写                            元</w:t>
            </w:r>
            <w:r/>
          </w:p>
        </w:tc>
      </w:tr>
    </w:tbl>
    <w:p>
      <w:pPr>
        <w:pStyle w:val="886"/>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886"/>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886"/>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240" w:lineRule="exact"/>
        <w:rPr>
          <w:rFonts w:hint="eastAsia" w:ascii="宋体" w:hAnsi="宋体" w:eastAsia="宋体" w:cs="宋体"/>
          <w:b/>
          <w:bCs/>
          <w:szCs w:val="21"/>
          <w:highlight w:val="none"/>
        </w:rPr>
        <w:outlineLvl w:val="0"/>
      </w:pPr>
      <w:r>
        <w:rPr>
          <w:rFonts w:hint="eastAsia" w:ascii="宋体" w:hAnsi="宋体" w:eastAsia="宋体" w:cs="宋体"/>
          <w:b/>
          <w:bCs/>
          <w:szCs w:val="21"/>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pStyle w:val="908"/>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1124"/>
        <w:ind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bidi="ar-SA"/>
        </w:rPr>
        <w:t xml:space="preserve">采购需求偏离响应表（格式）：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jc w:val="center"/>
        <w:spacing w:line="360" w:lineRule="auto"/>
        <w:rPr>
          <w:rFonts w:hint="eastAsia" w:ascii="宋体" w:hAnsi="宋体" w:eastAsia="宋体" w:cs="宋体"/>
          <w:b/>
          <w:sz w:val="36"/>
          <w:szCs w:val="28"/>
          <w:highlight w:val="none"/>
          <w:lang w:eastAsia="zh-CN"/>
        </w:rPr>
      </w:pPr>
      <w:r>
        <w:rPr>
          <w:rFonts w:hint="eastAsia" w:ascii="宋体" w:hAnsi="宋体" w:eastAsia="宋体" w:cs="宋体"/>
          <w:b/>
          <w:sz w:val="36"/>
          <w:szCs w:val="28"/>
          <w:highlight w:val="none"/>
          <w:lang w:eastAsia="zh-CN"/>
        </w:rPr>
        <w:t xml:space="preserve">采购需求偏离响应表</w:t>
      </w:r>
      <w:r/>
    </w:p>
    <w:p>
      <w:pPr>
        <w:spacing w:line="400" w:lineRule="exact"/>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招标编号：</w:t>
      </w:r>
      <w:r/>
    </w:p>
    <w:tbl>
      <w:tblPr>
        <w:tblStyle w:val="880"/>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招标文件要求的条款</w:t>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bl>
    <w:p>
      <w:pPr>
        <w:pStyle w:val="1125"/>
        <w:ind w:firstLine="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w:t>
      </w:r>
      <w:r>
        <w:rPr>
          <w:rFonts w:hint="eastAsia" w:ascii="宋体" w:hAnsi="宋体" w:cs="宋体"/>
          <w:szCs w:val="21"/>
          <w:highlight w:val="none"/>
          <w:lang w:val="en-US" w:eastAsia="zh-CN"/>
        </w:rPr>
        <w:t xml:space="preserve">第四章</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采购需求</w:t>
      </w:r>
      <w:r>
        <w:rPr>
          <w:rFonts w:hint="eastAsia" w:ascii="宋体" w:hAnsi="宋体" w:eastAsia="宋体" w:cs="宋体"/>
          <w:szCs w:val="21"/>
          <w:highlight w:val="none"/>
        </w:rPr>
        <w:t xml:space="preserve">》要求的内容给予逐条响应</w:t>
      </w:r>
      <w:r>
        <w:rPr>
          <w:rFonts w:hint="eastAsia" w:ascii="宋体" w:hAnsi="宋体" w:eastAsia="宋体" w:cs="宋体"/>
          <w:color w:val="000000"/>
          <w:szCs w:val="21"/>
          <w:highlight w:val="none"/>
        </w:rPr>
        <w:t xml:space="preserve">。</w:t>
      </w:r>
      <w:r/>
    </w:p>
    <w:p>
      <w:pPr>
        <w:numPr>
          <w:ilvl w:val="0"/>
          <w:numId w:val="6"/>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95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）中小企业声明函（格式）：</w:t>
      </w:r>
      <w:r/>
    </w:p>
    <w:p>
      <w:pPr>
        <w:ind w:firstLine="560"/>
        <w:jc w:val="center"/>
        <w:spacing w:beforeAutospacing="0" w:afterAutospacing="0"/>
        <w:widowControl w:val="off"/>
        <w:rPr>
          <w:rFonts w:ascii="黑体" w:hAnsi="宋体" w:eastAsia="黑体" w:cs="黑体"/>
          <w:color w:val="000000"/>
          <w:sz w:val="28"/>
          <w:szCs w:val="28"/>
          <w:highlight w:val="none"/>
          <w:lang w:val="en-US" w:eastAsia="zh-CN" w:bidi="ar-SA"/>
        </w:rPr>
      </w:pPr>
      <w:r>
        <w:rPr>
          <w:rFonts w:ascii="黑体" w:hAnsi="宋体" w:eastAsia="黑体" w:cs="黑体"/>
          <w:color w:val="000000"/>
          <w:sz w:val="28"/>
          <w:szCs w:val="28"/>
          <w:highlight w:val="none"/>
          <w:lang w:val="en-US" w:eastAsia="zh-CN" w:bidi="ar-SA"/>
        </w:rPr>
      </w:r>
      <w:r/>
    </w:p>
    <w:p>
      <w:pPr>
        <w:ind w:firstLine="560"/>
        <w:jc w:val="center"/>
        <w:spacing w:beforeAutospacing="0" w:afterAutospacing="0"/>
        <w:widowControl w:val="off"/>
        <w:rPr>
          <w:rFonts w:ascii="Times New Roman" w:hAnsi="Times New Roman" w:eastAsia="宋体" w:cs="Times New Roman"/>
          <w:sz w:val="24"/>
          <w:highlight w:val="none"/>
          <w:lang w:val="en-US" w:eastAsia="zh-CN" w:bidi="ar-SA"/>
        </w:rPr>
      </w:pPr>
      <w:r>
        <w:rPr>
          <w:rFonts w:ascii="黑体" w:hAnsi="宋体" w:eastAsia="黑体" w:cs="黑体"/>
          <w:color w:val="000000"/>
          <w:sz w:val="28"/>
          <w:szCs w:val="28"/>
          <w:highlight w:val="none"/>
          <w:lang w:val="en-US" w:eastAsia="zh-CN" w:bidi="ar-SA"/>
        </w:rPr>
        <w:t xml:space="preserve">中小企业声明函（工程、服务）</w:t>
      </w:r>
      <w:r/>
    </w:p>
    <w:p>
      <w:pPr>
        <w:ind w:firstLine="480"/>
        <w:jc w:val="left"/>
        <w:spacing w:beforeAutospacing="0" w:afterAutospacing="0" w:line="360" w:lineRule="auto"/>
        <w:widowControl/>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 </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lang w:val="en-US" w:eastAsia="zh-CN" w:bidi="ar-SA"/>
        </w:rPr>
        <w:t xml:space="preserve">（单位名称）</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u w:val="single"/>
          <w:lang w:val="en-US" w:eastAsia="zh-CN" w:bidi="ar-SA"/>
        </w:rPr>
        <w:t xml:space="preserve">（项目名称）</w:t>
      </w:r>
      <w:r>
        <w:rPr>
          <w:rFonts w:hint="eastAsia" w:ascii="宋体" w:hAnsi="宋体" w:eastAsia="宋体" w:cs="宋体"/>
          <w:color w:val="000000"/>
          <w:sz w:val="21"/>
          <w:szCs w:val="21"/>
          <w:highlight w:val="none"/>
          <w:lang w:val="en-US" w:eastAsia="zh-CN" w:bidi="ar-S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 </w:t>
      </w:r>
      <w:r>
        <w:rPr>
          <w:rFonts w:hint="eastAsia" w:ascii="宋体" w:hAnsi="宋体" w:eastAsia="宋体" w:cs="宋体"/>
          <w:color w:val="000000"/>
          <w:sz w:val="21"/>
          <w:szCs w:val="21"/>
          <w:highlight w:val="none"/>
          <w:u w:val="single"/>
          <w:lang w:val="en-US" w:eastAsia="zh-CN" w:bidi="ar-SA"/>
        </w:rPr>
        <w:t xml:space="preserve">（标的名称）</w:t>
      </w:r>
      <w:r>
        <w:rPr>
          <w:rFonts w:hint="eastAsia" w:ascii="宋体" w:hAnsi="宋体" w:eastAsia="宋体" w:cs="宋体"/>
          <w:color w:val="000000"/>
          <w:sz w:val="21"/>
          <w:szCs w:val="21"/>
          <w:highlight w:val="none"/>
          <w:lang w:val="en-US" w:eastAsia="zh-CN" w:bidi="ar-SA"/>
        </w:rPr>
        <w:t xml:space="preserve"> ，属于</w:t>
      </w:r>
      <w:r>
        <w:rPr>
          <w:rFonts w:hint="eastAsia" w:ascii="宋体" w:hAnsi="宋体" w:eastAsia="宋体" w:cs="宋体"/>
          <w:color w:val="000000"/>
          <w:sz w:val="21"/>
          <w:szCs w:val="21"/>
          <w:highlight w:val="none"/>
          <w:u w:val="single"/>
          <w:lang w:val="en-US" w:eastAsia="zh-CN" w:bidi="ar-SA"/>
        </w:rPr>
        <w:t xml:space="preserve">（招标文件中明确的所属行业）</w:t>
      </w:r>
      <w:r>
        <w:rPr>
          <w:rFonts w:hint="eastAsia" w:ascii="宋体" w:hAnsi="宋体" w:eastAsia="宋体" w:cs="宋体"/>
          <w:color w:val="000000"/>
          <w:sz w:val="21"/>
          <w:szCs w:val="21"/>
          <w:highlight w:val="none"/>
          <w:lang w:val="en-US" w:eastAsia="zh-CN" w:bidi="ar-SA"/>
        </w:rPr>
        <w:t xml:space="preserve">；承建（承接）企业为</w:t>
      </w:r>
      <w:r>
        <w:rPr>
          <w:rFonts w:hint="eastAsia" w:ascii="宋体" w:hAnsi="宋体" w:eastAsia="宋体" w:cs="宋体"/>
          <w:color w:val="000000"/>
          <w:sz w:val="21"/>
          <w:szCs w:val="21"/>
          <w:highlight w:val="none"/>
          <w:u w:val="single"/>
          <w:lang w:val="en-US" w:eastAsia="zh-CN" w:bidi="ar-SA"/>
        </w:rPr>
        <w:t xml:space="preserve">（企业名称）</w:t>
      </w:r>
      <w:r>
        <w:rPr>
          <w:rFonts w:hint="eastAsia" w:ascii="宋体" w:hAnsi="宋体" w:eastAsia="宋体" w:cs="宋体"/>
          <w:color w:val="000000"/>
          <w:sz w:val="21"/>
          <w:szCs w:val="21"/>
          <w:highlight w:val="none"/>
          <w:lang w:val="en-US" w:eastAsia="zh-CN" w:bidi="ar-SA"/>
        </w:rPr>
        <w:t xml:space="preserve">，从业人员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人，营业收入为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万元，资产总额为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vertAlign w:val="superscript"/>
          <w:lang w:val="en-US" w:eastAsia="zh-CN" w:bidi="ar-SA"/>
        </w:rPr>
        <w:t xml:space="preserve">1</w:t>
      </w:r>
      <w:r>
        <w:rPr>
          <w:rFonts w:hint="eastAsia" w:ascii="宋体" w:hAnsi="宋体" w:eastAsia="宋体" w:cs="宋体"/>
          <w:color w:val="000000"/>
          <w:sz w:val="21"/>
          <w:szCs w:val="21"/>
          <w:highlight w:val="none"/>
          <w:lang w:val="en-US" w:eastAsia="zh-CN" w:bidi="ar-SA"/>
        </w:rPr>
        <w:t xml:space="preserve">，属于</w:t>
      </w:r>
      <w:r>
        <w:rPr>
          <w:rFonts w:hint="eastAsia" w:ascii="宋体" w:hAnsi="宋体" w:eastAsia="宋体" w:cs="宋体"/>
          <w:color w:val="000000"/>
          <w:sz w:val="21"/>
          <w:szCs w:val="21"/>
          <w:highlight w:val="none"/>
          <w:u w:val="single"/>
          <w:lang w:val="en-US" w:eastAsia="zh-CN" w:bidi="ar-SA"/>
        </w:rPr>
        <w:t xml:space="preserve">（中型企业、小型企业、微型企业）</w:t>
      </w: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 </w:t>
      </w:r>
      <w:r>
        <w:rPr>
          <w:rFonts w:hint="eastAsia" w:ascii="宋体" w:hAnsi="宋体" w:eastAsia="宋体" w:cs="宋体"/>
          <w:color w:val="000000"/>
          <w:sz w:val="21"/>
          <w:szCs w:val="21"/>
          <w:highlight w:val="none"/>
          <w:u w:val="single"/>
          <w:lang w:val="en-US" w:eastAsia="zh-CN" w:bidi="ar-SA"/>
        </w:rPr>
        <w:t xml:space="preserve">（标的名称）</w:t>
      </w:r>
      <w:r>
        <w:rPr>
          <w:rFonts w:hint="eastAsia" w:ascii="宋体" w:hAnsi="宋体" w:eastAsia="宋体" w:cs="宋体"/>
          <w:color w:val="000000"/>
          <w:sz w:val="21"/>
          <w:szCs w:val="21"/>
          <w:highlight w:val="none"/>
          <w:lang w:val="en-US" w:eastAsia="zh-CN" w:bidi="ar-SA"/>
        </w:rPr>
        <w:t xml:space="preserve"> ，属于</w:t>
      </w:r>
      <w:r>
        <w:rPr>
          <w:rFonts w:hint="eastAsia" w:ascii="宋体" w:hAnsi="宋体" w:eastAsia="宋体" w:cs="宋体"/>
          <w:color w:val="000000"/>
          <w:sz w:val="21"/>
          <w:szCs w:val="21"/>
          <w:highlight w:val="none"/>
          <w:u w:val="single"/>
          <w:lang w:val="en-US" w:eastAsia="zh-CN" w:bidi="ar-SA"/>
        </w:rPr>
        <w:t xml:space="preserve">（招标文件中明确的所属行业）</w:t>
      </w:r>
      <w:r>
        <w:rPr>
          <w:rFonts w:hint="eastAsia" w:ascii="宋体" w:hAnsi="宋体" w:eastAsia="宋体" w:cs="宋体"/>
          <w:color w:val="000000"/>
          <w:sz w:val="21"/>
          <w:szCs w:val="21"/>
          <w:highlight w:val="none"/>
          <w:lang w:val="en-US" w:eastAsia="zh-CN" w:bidi="ar-SA"/>
        </w:rPr>
        <w:t xml:space="preserve">；承建（承接）企业为</w:t>
      </w:r>
      <w:r>
        <w:rPr>
          <w:rFonts w:hint="eastAsia" w:ascii="宋体" w:hAnsi="宋体" w:eastAsia="宋体" w:cs="宋体"/>
          <w:color w:val="000000"/>
          <w:sz w:val="21"/>
          <w:szCs w:val="21"/>
          <w:highlight w:val="none"/>
          <w:u w:val="single"/>
          <w:lang w:val="en-US" w:eastAsia="zh-CN" w:bidi="ar-SA"/>
        </w:rPr>
        <w:t xml:space="preserve">（企业名称）</w:t>
      </w:r>
      <w:r>
        <w:rPr>
          <w:rFonts w:hint="eastAsia" w:ascii="宋体" w:hAnsi="宋体" w:eastAsia="宋体" w:cs="宋体"/>
          <w:color w:val="000000"/>
          <w:sz w:val="21"/>
          <w:szCs w:val="21"/>
          <w:highlight w:val="none"/>
          <w:lang w:val="en-US" w:eastAsia="zh-CN" w:bidi="ar-SA"/>
        </w:rPr>
        <w:t xml:space="preserve">，从业人员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人，营业收入为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万元，资产总额为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万元，属于</w:t>
      </w:r>
      <w:r>
        <w:rPr>
          <w:rFonts w:hint="eastAsia" w:ascii="宋体" w:hAnsi="宋体" w:eastAsia="宋体" w:cs="宋体"/>
          <w:color w:val="000000"/>
          <w:sz w:val="21"/>
          <w:szCs w:val="21"/>
          <w:highlight w:val="none"/>
          <w:u w:val="single"/>
          <w:lang w:val="en-US" w:eastAsia="zh-CN" w:bidi="ar-SA"/>
        </w:rPr>
        <w:t xml:space="preserve">（中型企业、小型企业、微型企业）</w:t>
      </w: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本企业对上述声明内容的真实性负责。如有虚假，将依法承担相应责任。</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 </w:t>
      </w:r>
      <w:r/>
    </w:p>
    <w:p>
      <w:pPr>
        <w:ind w:firstLine="480"/>
        <w:jc w:val="righ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企业名称（盖章）：    </w:t>
      </w:r>
      <w:r/>
    </w:p>
    <w:p>
      <w:pPr>
        <w:ind w:firstLine="480"/>
        <w:jc w:val="center"/>
        <w:spacing w:beforeAutospacing="0" w:afterAutospacing="0" w:line="360" w:lineRule="auto"/>
        <w:widowControl/>
        <w:rPr>
          <w:rFonts w:ascii="Times New Roman" w:hAnsi="Times New Roman" w:eastAsia="宋体" w:cs="Times New Roman"/>
          <w:sz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                                                日期：</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w:t>
      </w:r>
      <w:r/>
    </w:p>
    <w:p>
      <w:pPr>
        <w:ind w:firstLine="480"/>
        <w:jc w:val="both"/>
        <w:spacing w:beforeAutospacing="0" w:afterAutospacing="0"/>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 </w:t>
      </w:r>
      <w:r/>
    </w:p>
    <w:p>
      <w:pPr>
        <w:ind w:firstLine="480"/>
        <w:jc w:val="both"/>
        <w:spacing w:beforeAutospacing="0" w:afterAutospacing="0" w:line="300" w:lineRule="auto"/>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p>
      <w:pPr>
        <w:ind w:firstLine="480"/>
        <w:jc w:val="both"/>
        <w:spacing w:beforeAutospacing="0" w:afterAutospacing="0" w:line="300" w:lineRule="auto"/>
        <w:widowControl w:val="off"/>
        <w:rPr>
          <w:rFonts w:ascii="Times New Roman" w:hAnsi="Times New Roman" w:eastAsia="宋体" w:cs="Times New Roman"/>
          <w:sz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注：1.从业人员、营业收入、资产总额填报上一年度数据，无上一年度数据的新成立企业可不填报。</w:t>
      </w:r>
      <w:r/>
    </w:p>
    <w:p>
      <w:pPr>
        <w:numPr>
          <w:ilvl w:val="0"/>
          <w:numId w:val="6"/>
        </w:numPr>
        <w:ind w:firstLine="420"/>
        <w:jc w:val="both"/>
        <w:spacing w:beforeAutospacing="0" w:afterAutospacing="0"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both"/>
        <w:spacing w:beforeAutospacing="0" w:afterAutospacing="0"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br w:type="page" w:clear="all"/>
      </w:r>
      <w:r>
        <w:rPr>
          <w:rFonts w:hint="eastAsia" w:ascii="宋体" w:hAnsi="宋体" w:eastAsia="宋体" w:cs="宋体"/>
          <w:b/>
          <w:szCs w:val="21"/>
          <w:highlight w:val="none"/>
        </w:rPr>
        <w:t xml:space="preserve">（</w:t>
      </w:r>
      <w:r>
        <w:rPr>
          <w:rFonts w:hint="eastAsia" w:ascii="宋体" w:hAnsi="宋体" w:cs="宋体"/>
          <w:b/>
          <w:szCs w:val="21"/>
          <w:highlight w:val="none"/>
          <w:lang w:val="en-US" w:eastAsia="zh-CN"/>
        </w:rPr>
        <w:t xml:space="preserve">七</w:t>
      </w:r>
      <w:r>
        <w:rPr>
          <w:rFonts w:hint="eastAsia" w:ascii="宋体" w:hAnsi="宋体" w:eastAsia="宋体" w:cs="宋体"/>
          <w:b/>
          <w:szCs w:val="21"/>
          <w:highlight w:val="none"/>
        </w:rPr>
        <w:t xml:space="preserve">）残疾人福利性单位声明函（格式）：</w:t>
      </w:r>
      <w:r/>
    </w:p>
    <w:p>
      <w:pPr>
        <w:spacing w:line="588" w:lineRule="exact"/>
        <w:rPr>
          <w:rFonts w:hint="eastAsia" w:ascii="宋体" w:hAnsi="宋体" w:eastAsia="宋体" w:cs="宋体"/>
          <w:b/>
          <w:spacing w:val="6"/>
          <w:sz w:val="30"/>
          <w:szCs w:val="30"/>
          <w:highlight w:val="none"/>
        </w:rPr>
      </w:pPr>
      <w:r>
        <w:rPr>
          <w:rFonts w:hint="eastAsia" w:ascii="宋体" w:hAnsi="宋体" w:eastAsia="宋体" w:cs="宋体"/>
          <w:b/>
          <w:spacing w:val="6"/>
          <w:sz w:val="30"/>
          <w:szCs w:val="30"/>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残疾人福利性单位声明函</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Cs w:val="21"/>
          <w:highlight w:val="none"/>
          <w:u w:val="single"/>
        </w:rPr>
        <w:t xml:space="preserve">             项目</w:t>
      </w:r>
      <w:r>
        <w:rPr>
          <w:rFonts w:hint="eastAsia" w:ascii="宋体" w:hAnsi="宋体" w:eastAsia="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399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单位名称（盖章）：</w:t>
      </w:r>
      <w:r/>
    </w:p>
    <w:p>
      <w:pPr>
        <w:ind w:firstLine="399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  期：</w:t>
      </w:r>
      <w:r/>
    </w:p>
    <w:p>
      <w:pPr>
        <w:pStyle w:val="1124"/>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rPr>
          <w:rFonts w:hint="eastAsia" w:ascii="宋体" w:hAnsi="宋体" w:eastAsia="宋体" w:cs="宋体"/>
          <w:highlight w:val="none"/>
        </w:rPr>
      </w:pPr>
      <w:r>
        <w:rPr>
          <w:rFonts w:hint="eastAsia" w:ascii="宋体" w:hAnsi="宋体" w:eastAsia="宋体" w:cs="宋体"/>
          <w:highlight w:val="none"/>
        </w:rPr>
      </w:r>
      <w:r/>
    </w:p>
    <w:p>
      <w:pPr>
        <w:pStyle w:val="1124"/>
        <w:ind w:left="0" w:firstLine="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Arial Unicode MS"/>
          <w:b/>
          <w:bCs/>
          <w:szCs w:val="21"/>
        </w:rPr>
        <w:outlineLvl w:val="0"/>
      </w:pPr>
      <w:r>
        <w:rPr>
          <w:rFonts w:hint="eastAsia" w:ascii="宋体" w:hAnsi="宋体" w:eastAsia="宋体" w:cs="Arial Unicode MS"/>
          <w:b/>
          <w:bCs/>
          <w:szCs w:val="21"/>
          <w:lang w:eastAsia="zh-CN"/>
        </w:rPr>
        <w:t xml:space="preserve">（</w:t>
      </w:r>
      <w:r>
        <w:rPr>
          <w:rFonts w:hint="eastAsia" w:ascii="宋体" w:hAnsi="宋体" w:eastAsia="宋体" w:cs="Arial Unicode MS"/>
          <w:b/>
          <w:bCs/>
          <w:szCs w:val="21"/>
          <w:lang w:val="en-US" w:eastAsia="zh-CN"/>
        </w:rPr>
        <w:t xml:space="preserve">八</w:t>
      </w:r>
      <w:r>
        <w:rPr>
          <w:rFonts w:hint="eastAsia" w:ascii="宋体" w:hAnsi="宋体" w:eastAsia="宋体" w:cs="Arial Unicode MS"/>
          <w:b/>
          <w:bCs/>
          <w:szCs w:val="21"/>
          <w:lang w:eastAsia="zh-CN"/>
        </w:rPr>
        <w:t xml:space="preserve">）</w:t>
      </w:r>
      <w:r>
        <w:rPr>
          <w:rFonts w:hint="eastAsia" w:ascii="宋体" w:hAnsi="宋体" w:eastAsia="宋体" w:cs="Arial Unicode MS"/>
          <w:b/>
          <w:bCs/>
          <w:szCs w:val="21"/>
        </w:rPr>
        <w:t xml:space="preserve">、具备履行合同所必需的设备和专业技术能力承诺书格式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承诺书</w:t>
      </w:r>
      <w:r/>
    </w:p>
    <w:p>
      <w:pPr>
        <w:jc w:val="center"/>
        <w:spacing w:line="360" w:lineRule="auto"/>
        <w:rPr>
          <w:rFonts w:ascii="宋体" w:hAnsi="Times New Roman" w:eastAsia="宋体" w:cs="Times New Roman"/>
          <w:szCs w:val="21"/>
        </w:rPr>
      </w:pPr>
      <w:r>
        <w:rPr>
          <w:rFonts w:ascii="宋体" w:hAnsi="Times New Roman" w:eastAsia="宋体" w:cs="Times New Roman"/>
          <w:szCs w:val="21"/>
        </w:rPr>
      </w:r>
      <w:r/>
    </w:p>
    <w:p>
      <w:pPr>
        <w:spacing w:line="360" w:lineRule="auto"/>
        <w:rPr>
          <w:rFonts w:ascii="宋体" w:hAnsi="Times New Roman" w:eastAsia="宋体" w:cs="Times New Roman"/>
          <w:szCs w:val="21"/>
        </w:rPr>
      </w:pPr>
      <w:r>
        <w:rPr>
          <w:rFonts w:hint="eastAsia" w:ascii="宋体" w:hAnsi="宋体" w:eastAsia="宋体" w:cs="宋体"/>
          <w:szCs w:val="21"/>
        </w:rPr>
        <w:t xml:space="preserve">（投标单位名称）在此承诺：</w:t>
      </w:r>
      <w:r/>
    </w:p>
    <w:p>
      <w:pPr>
        <w:ind w:firstLine="420"/>
        <w:spacing w:line="360" w:lineRule="auto"/>
        <w:rPr>
          <w:rFonts w:ascii="宋体" w:hAnsi="Times New Roman" w:eastAsia="宋体" w:cs="Times New Roman"/>
          <w:szCs w:val="21"/>
        </w:rPr>
      </w:pPr>
      <w:r>
        <w:rPr>
          <w:rFonts w:ascii="宋体" w:hAnsi="Times New Roman" w:eastAsia="宋体" w:cs="Times New Roman"/>
          <w:szCs w:val="21"/>
        </w:rPr>
      </w:r>
      <w:r/>
    </w:p>
    <w:p>
      <w:pPr>
        <w:ind w:firstLine="420"/>
        <w:spacing w:line="360" w:lineRule="auto"/>
        <w:rPr>
          <w:rFonts w:ascii="宋体" w:hAnsi="Times New Roman" w:eastAsia="宋体" w:cs="Times New Roman"/>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．本公司（单位）具备履行合同所必需的设备和专业技术能力；</w:t>
      </w:r>
      <w:r/>
    </w:p>
    <w:p>
      <w:pPr>
        <w:ind w:firstLine="420"/>
        <w:spacing w:line="360" w:lineRule="auto"/>
        <w:rPr>
          <w:rFonts w:ascii="宋体" w:hAnsi="Times New Roman" w:eastAsia="宋体" w:cs="Times New Roman"/>
          <w:szCs w:val="21"/>
        </w:rPr>
      </w:pPr>
      <w:r>
        <w:rPr>
          <w:rFonts w:hint="eastAsia" w:ascii="宋体" w:hAnsi="宋体" w:eastAsia="宋体" w:cs="宋体"/>
          <w:szCs w:val="21"/>
          <w:lang w:val="en-US" w:eastAsia="zh-CN"/>
        </w:rPr>
        <w:t xml:space="preserve">2</w:t>
      </w:r>
      <w:r>
        <w:rPr>
          <w:rFonts w:ascii="宋体" w:hAnsi="宋体" w:eastAsia="宋体" w:cs="宋体"/>
          <w:szCs w:val="21"/>
        </w:rPr>
        <w:t xml:space="preserve">.</w:t>
      </w:r>
      <w:r>
        <w:rPr>
          <w:rFonts w:hint="eastAsia" w:ascii="宋体" w:hAnsi="宋体" w:eastAsia="宋体" w:cs="宋体"/>
          <w:szCs w:val="21"/>
        </w:rPr>
        <w:t xml:space="preserve">本公司未被“信用中国”网站（</w:t>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"http://www.creditchina.gov.cn" </w:instrText>
      </w:r>
      <w:r>
        <w:rPr>
          <w:rFonts w:ascii="Times New Roman" w:hAnsi="Times New Roman" w:eastAsia="宋体" w:cs="Times New Roman"/>
          <w:szCs w:val="21"/>
        </w:rPr>
        <w:fldChar w:fldCharType="separate"/>
      </w:r>
      <w:r>
        <w:rPr>
          <w:rFonts w:ascii="宋体" w:hAnsi="宋体" w:eastAsia="宋体" w:cs="宋体"/>
          <w:szCs w:val="21"/>
        </w:rPr>
        <w:t xml:space="preserve">www.creditchina.gov.cn</w:t>
      </w:r>
      <w:r>
        <w:rPr>
          <w:rFonts w:ascii="宋体" w:hAnsi="宋体" w:eastAsia="宋体" w:cs="宋体"/>
          <w:szCs w:val="21"/>
        </w:rPr>
        <w:fldChar w:fldCharType="end"/>
      </w:r>
      <w:r>
        <w:rPr>
          <w:rFonts w:hint="eastAsia" w:ascii="宋体" w:hAnsi="宋体" w:eastAsia="宋体" w:cs="宋体"/>
          <w:szCs w:val="21"/>
        </w:rPr>
        <w:t xml:space="preserve">）列入失信执行人、重大税收违法案件当事人名单、政府采购严重违法失信行为记录名单。</w:t>
      </w:r>
      <w:r/>
    </w:p>
    <w:p>
      <w:pPr>
        <w:ind w:firstLine="420"/>
        <w:spacing w:line="360" w:lineRule="auto"/>
        <w:rPr>
          <w:rFonts w:ascii="宋体" w:hAnsi="Times New Roman" w:eastAsia="宋体" w:cs="Times New Roman"/>
          <w:szCs w:val="21"/>
        </w:rPr>
      </w:pPr>
      <w:r>
        <w:rPr>
          <w:rFonts w:hint="eastAsia" w:ascii="宋体" w:hAnsi="宋体" w:eastAsia="宋体" w:cs="宋体"/>
          <w:szCs w:val="21"/>
        </w:rPr>
        <w:t xml:space="preserve">如违背上述承诺，本公司（单位）将承担一切法律责任。</w:t>
      </w:r>
      <w:r/>
    </w:p>
    <w:p>
      <w:pPr>
        <w:ind w:firstLine="420"/>
        <w:spacing w:line="360" w:lineRule="auto"/>
        <w:rPr>
          <w:rFonts w:ascii="宋体" w:hAnsi="Times New Roman" w:eastAsia="宋体" w:cs="Times New Roman"/>
          <w:szCs w:val="21"/>
        </w:rPr>
      </w:pPr>
      <w:r>
        <w:rPr>
          <w:rFonts w:ascii="宋体" w:hAnsi="Times New Roman" w:eastAsia="宋体" w:cs="Times New Roman"/>
          <w:szCs w:val="21"/>
        </w:rPr>
      </w:r>
      <w:r/>
    </w:p>
    <w:p>
      <w:pPr>
        <w:ind w:firstLine="420"/>
        <w:spacing w:line="360" w:lineRule="auto"/>
        <w:rPr>
          <w:rFonts w:ascii="宋体" w:hAnsi="Times New Roman" w:eastAsia="宋体" w:cs="Times New Roman"/>
          <w:szCs w:val="21"/>
        </w:rPr>
      </w:pPr>
      <w:r>
        <w:rPr>
          <w:rFonts w:hint="eastAsia" w:ascii="宋体" w:hAnsi="Times New Roman" w:eastAsia="宋体" w:cs="Times New Roman"/>
          <w:szCs w:val="21"/>
        </w:rPr>
        <w:t xml:space="preserve">   </w:t>
      </w:r>
      <w:r/>
    </w:p>
    <w:p>
      <w:pPr>
        <w:ind w:firstLine="2940"/>
        <w:spacing w:line="360" w:lineRule="auto"/>
        <w:rPr>
          <w:rFonts w:hint="eastAsia" w:ascii="宋体" w:hAnsi="宋体" w:eastAsia="宋体" w:cs="宋体"/>
          <w:szCs w:val="21"/>
        </w:rPr>
      </w:pPr>
      <w:r>
        <w:rPr>
          <w:rFonts w:hint="eastAsia" w:ascii="宋体" w:hAnsi="宋体" w:eastAsia="宋体" w:cs="宋体"/>
          <w:szCs w:val="21"/>
        </w:rPr>
      </w:r>
      <w:r/>
    </w:p>
    <w:p>
      <w:pPr>
        <w:ind w:firstLine="2940"/>
        <w:spacing w:line="360" w:lineRule="auto"/>
        <w:rPr>
          <w:rFonts w:hint="eastAsia" w:ascii="宋体" w:hAnsi="宋体" w:eastAsia="宋体" w:cs="宋体"/>
          <w:szCs w:val="21"/>
        </w:rPr>
      </w:pPr>
      <w:r>
        <w:rPr>
          <w:rFonts w:hint="eastAsia" w:ascii="宋体" w:hAnsi="宋体" w:eastAsia="宋体" w:cs="宋体"/>
          <w:szCs w:val="21"/>
        </w:rPr>
        <w:t xml:space="preserve">投标单位（盖章）： </w:t>
      </w:r>
      <w:r/>
    </w:p>
    <w:p>
      <w:pPr>
        <w:ind w:firstLine="2940"/>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p>
    <w:p>
      <w:pPr>
        <w:spacing w:line="360" w:lineRule="auto"/>
        <w:rPr>
          <w:rFonts w:ascii="宋体" w:hAnsi="宋体" w:eastAsia="宋体" w:cs="Arial Unicode MS"/>
          <w:b/>
          <w:szCs w:val="21"/>
        </w:rPr>
      </w:pPr>
      <w:r>
        <w:rPr>
          <w:rFonts w:hint="eastAsia" w:ascii="宋体" w:hAnsi="宋体" w:eastAsia="宋体" w:cs="宋体"/>
          <w:szCs w:val="21"/>
        </w:rPr>
        <w:br w:type="page" w:clear="all"/>
      </w:r>
      <w:r>
        <w:rPr>
          <w:rFonts w:hint="eastAsia" w:ascii="宋体" w:hAnsi="宋体" w:eastAsia="宋体" w:cs="Arial Unicode MS"/>
          <w:b/>
          <w:szCs w:val="21"/>
          <w:lang w:eastAsia="zh-CN"/>
        </w:rPr>
        <w:t xml:space="preserve">（</w:t>
      </w:r>
      <w:r>
        <w:rPr>
          <w:rFonts w:hint="eastAsia" w:ascii="宋体" w:hAnsi="宋体" w:eastAsia="宋体" w:cs="Arial Unicode MS"/>
          <w:b/>
          <w:szCs w:val="21"/>
          <w:lang w:val="en-US" w:eastAsia="zh-CN"/>
        </w:rPr>
        <w:t xml:space="preserve">九</w:t>
      </w:r>
      <w:r>
        <w:rPr>
          <w:rFonts w:hint="eastAsia" w:ascii="宋体" w:hAnsi="宋体" w:eastAsia="宋体" w:cs="Arial Unicode MS"/>
          <w:b/>
          <w:szCs w:val="21"/>
          <w:lang w:eastAsia="zh-CN"/>
        </w:rPr>
        <w:t xml:space="preserve">）</w:t>
      </w:r>
      <w:r>
        <w:rPr>
          <w:rFonts w:hint="eastAsia" w:ascii="宋体" w:hAnsi="宋体" w:eastAsia="宋体" w:cs="Arial Unicode MS"/>
          <w:b/>
          <w:szCs w:val="21"/>
        </w:rPr>
        <w:t xml:space="preserve">、无重大违法记录声明格式</w:t>
      </w:r>
      <w:r/>
    </w:p>
    <w:p>
      <w:pPr>
        <w:jc w:val="center"/>
        <w:spacing w:line="360" w:lineRule="auto"/>
        <w:rPr>
          <w:rFonts w:ascii="宋体" w:hAnsi="宋体" w:eastAsia="宋体" w:cs="Arial Unicode MS"/>
          <w:szCs w:val="21"/>
        </w:rPr>
      </w:pPr>
      <w:r>
        <w:rPr>
          <w:rFonts w:ascii="宋体" w:hAnsi="宋体" w:eastAsia="宋体" w:cs="Arial Unicode MS"/>
          <w:szCs w:val="21"/>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无重大违法记录声明</w:t>
      </w:r>
      <w:r/>
    </w:p>
    <w:p>
      <w:pPr>
        <w:spacing w:line="360" w:lineRule="auto"/>
        <w:rPr>
          <w:rFonts w:ascii="宋体" w:hAnsi="宋体" w:eastAsia="宋体" w:cs="Arial Unicode MS"/>
          <w:szCs w:val="21"/>
        </w:rPr>
      </w:pPr>
      <w:r>
        <w:rPr>
          <w:rFonts w:ascii="宋体" w:hAnsi="宋体" w:eastAsia="宋体" w:cs="Arial Unicode MS"/>
          <w:szCs w:val="21"/>
        </w:rPr>
      </w:r>
      <w:r/>
    </w:p>
    <w:p>
      <w:pPr>
        <w:spacing w:line="360" w:lineRule="auto"/>
        <w:rPr>
          <w:rFonts w:ascii="宋体" w:hAnsi="宋体" w:eastAsia="宋体" w:cs="Arial Unicode MS"/>
          <w:szCs w:val="21"/>
        </w:rPr>
      </w:pPr>
      <w:r>
        <w:rPr>
          <w:rFonts w:hint="eastAsia" w:ascii="宋体" w:hAnsi="宋体" w:eastAsia="宋体" w:cs="Arial Unicode MS"/>
          <w:szCs w:val="21"/>
        </w:rPr>
        <w:t xml:space="preserve">苏美达国际技术贸易有限公司：</w:t>
      </w:r>
      <w:r/>
    </w:p>
    <w:p>
      <w:pPr>
        <w:spacing w:line="360" w:lineRule="auto"/>
        <w:rPr>
          <w:rFonts w:ascii="宋体" w:hAnsi="宋体" w:eastAsia="宋体" w:cs="Arial Unicode MS"/>
          <w:szCs w:val="21"/>
        </w:rPr>
      </w:pPr>
      <w:r>
        <w:rPr>
          <w:rFonts w:ascii="宋体" w:hAnsi="宋体" w:eastAsia="宋体" w:cs="Arial Unicode MS"/>
          <w:szCs w:val="21"/>
        </w:rPr>
      </w:r>
      <w:r/>
    </w:p>
    <w:p>
      <w:pPr>
        <w:ind w:firstLine="420"/>
        <w:spacing w:line="360" w:lineRule="auto"/>
        <w:rPr>
          <w:rFonts w:ascii="宋体" w:hAnsi="宋体" w:eastAsia="宋体" w:cs="Arial Unicode MS"/>
          <w:szCs w:val="21"/>
        </w:rPr>
      </w:pPr>
      <w:r>
        <w:rPr>
          <w:rFonts w:hint="eastAsia" w:ascii="宋体" w:hAnsi="宋体" w:eastAsia="宋体" w:cs="Arial Unicode MS"/>
          <w:szCs w:val="21"/>
        </w:rPr>
        <w:t xml:space="preserve">我单位</w:t>
      </w:r>
      <w:r>
        <w:rPr>
          <w:rFonts w:hint="eastAsia" w:ascii="宋体" w:hAnsi="宋体" w:eastAsia="宋体" w:cs="Arial Unicode MS"/>
          <w:szCs w:val="21"/>
          <w:u w:val="single"/>
        </w:rPr>
        <w:t xml:space="preserve">                                       </w:t>
      </w:r>
      <w:r>
        <w:rPr>
          <w:rFonts w:hint="eastAsia" w:ascii="宋体" w:hAnsi="宋体" w:eastAsia="宋体" w:cs="Arial Unicode MS"/>
          <w:szCs w:val="21"/>
        </w:rPr>
        <w:t xml:space="preserve">（供应商名称）郑重声明：</w:t>
      </w:r>
      <w:r/>
    </w:p>
    <w:p>
      <w:pPr>
        <w:ind w:firstLine="420"/>
        <w:spacing w:line="360" w:lineRule="auto"/>
        <w:rPr>
          <w:rFonts w:ascii="宋体" w:hAnsi="宋体" w:eastAsia="宋体" w:cs="Arial Unicode MS"/>
          <w:szCs w:val="21"/>
        </w:rPr>
      </w:pPr>
      <w:r>
        <w:rPr>
          <w:rFonts w:hint="eastAsia" w:ascii="宋体" w:hAnsi="宋体" w:eastAsia="宋体" w:cs="Arial Unicode MS"/>
          <w:szCs w:val="21"/>
        </w:rPr>
        <w:t xml:space="preserve">参加政府采购活动前3年内在经营活动中</w:t>
      </w:r>
      <w:r>
        <w:rPr>
          <w:rFonts w:hint="eastAsia" w:ascii="宋体" w:hAnsi="宋体" w:eastAsia="宋体" w:cs="Arial Unicode MS"/>
          <w:szCs w:val="21"/>
          <w:u w:val="single"/>
        </w:rPr>
        <w:t xml:space="preserve">        </w:t>
      </w:r>
      <w:r>
        <w:rPr>
          <w:rFonts w:hint="eastAsia" w:ascii="宋体" w:hAnsi="宋体" w:eastAsia="宋体" w:cs="Arial Unicode MS"/>
          <w:szCs w:val="21"/>
        </w:rPr>
        <w:t xml:space="preserve">（在下划线上如实填写：有或没有）重大违法记录。</w:t>
      </w:r>
      <w:r/>
    </w:p>
    <w:p>
      <w:pPr>
        <w:ind w:firstLine="315"/>
        <w:spacing w:line="360" w:lineRule="auto"/>
        <w:rPr>
          <w:rFonts w:ascii="宋体" w:hAnsi="宋体" w:eastAsia="宋体" w:cs="Arial Unicode MS"/>
          <w:szCs w:val="21"/>
        </w:rPr>
      </w:pPr>
      <w:r>
        <w:rPr>
          <w:rFonts w:hint="eastAsia" w:ascii="宋体" w:hAnsi="宋体" w:eastAsia="宋体" w:cs="Arial Unicode MS"/>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s="Arial Unicode MS"/>
          <w:szCs w:val="21"/>
        </w:rPr>
      </w:pPr>
      <w:r>
        <w:rPr>
          <w:rFonts w:ascii="宋体" w:hAnsi="宋体" w:eastAsia="宋体" w:cs="Arial Unicode MS"/>
          <w:szCs w:val="21"/>
        </w:rPr>
      </w:r>
      <w:r/>
    </w:p>
    <w:p>
      <w:pPr>
        <w:spacing w:line="360" w:lineRule="auto"/>
        <w:rPr>
          <w:rFonts w:ascii="宋体" w:hAnsi="宋体" w:eastAsia="宋体" w:cs="Arial Unicode MS"/>
          <w:szCs w:val="21"/>
        </w:rPr>
      </w:pPr>
      <w:r>
        <w:rPr>
          <w:rFonts w:ascii="宋体" w:hAnsi="宋体" w:eastAsia="宋体" w:cs="Arial Unicode MS"/>
          <w:szCs w:val="21"/>
        </w:rPr>
      </w:r>
      <w:r/>
    </w:p>
    <w:p>
      <w:pPr>
        <w:ind w:firstLine="315"/>
        <w:jc w:val="center"/>
        <w:spacing w:line="360" w:lineRule="auto"/>
        <w:rPr>
          <w:rFonts w:hint="eastAsia" w:ascii="宋体" w:hAnsi="宋体" w:eastAsia="宋体" w:cs="Arial Unicode MS"/>
          <w:szCs w:val="21"/>
        </w:rPr>
      </w:pPr>
      <w:r>
        <w:rPr>
          <w:rFonts w:hint="eastAsia" w:ascii="宋体" w:hAnsi="宋体" w:eastAsia="宋体" w:cs="Arial Unicode MS"/>
          <w:szCs w:val="21"/>
        </w:rPr>
        <w:t xml:space="preserve">                    声明人：（公章）</w:t>
      </w:r>
      <w:r/>
    </w:p>
    <w:p>
      <w:pPr>
        <w:ind w:firstLine="4515"/>
        <w:spacing w:line="360" w:lineRule="auto"/>
        <w:rPr>
          <w:rFonts w:hint="eastAsia" w:ascii="宋体" w:hAnsi="宋体" w:eastAsia="宋体" w:cs="Arial Unicode MS"/>
          <w:szCs w:val="21"/>
          <w:lang w:val="zh-CN"/>
        </w:rPr>
      </w:pPr>
      <w:r>
        <w:rPr>
          <w:rFonts w:hint="eastAsia" w:ascii="宋体" w:hAnsi="宋体" w:eastAsia="宋体" w:cs="Arial Unicode MS"/>
          <w:szCs w:val="21"/>
          <w:lang w:val="zh-CN"/>
        </w:rPr>
        <w:t xml:space="preserve">日   期：      年    </w:t>
      </w:r>
      <w:r>
        <w:rPr>
          <w:rFonts w:hint="eastAsia" w:ascii="宋体" w:hAnsi="宋体" w:eastAsia="宋体" w:cs="Arial Unicode MS"/>
          <w:szCs w:val="21"/>
        </w:rPr>
        <w:t xml:space="preserve"> </w:t>
      </w:r>
      <w:r>
        <w:rPr>
          <w:rFonts w:hint="eastAsia" w:ascii="宋体" w:hAnsi="宋体" w:eastAsia="宋体" w:cs="Arial Unicode MS"/>
          <w:szCs w:val="21"/>
          <w:lang w:val="zh-CN"/>
        </w:rPr>
        <w:t xml:space="preserve">月    </w:t>
      </w:r>
      <w:r/>
    </w:p>
    <w:p>
      <w:pPr>
        <w:ind w:firstLine="33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ind w:firstLine="420"/>
        <w:jc w:val="left"/>
        <w:spacing w:after="200"/>
        <w:widowControl/>
        <w:rPr>
          <w:rFonts w:hint="default" w:ascii="Tahoma" w:hAnsi="Tahoma" w:eastAsia="微软雅黑" w:cs="Times New Roman"/>
          <w:sz w:val="22"/>
          <w:szCs w:val="22"/>
          <w:highlight w:val="none"/>
          <w:lang w:val="en-US" w:eastAsia="zh-CN" w:bidi="ar-SA"/>
        </w:rPr>
      </w:pPr>
      <w:r>
        <w:rPr>
          <w:rFonts w:hint="default" w:ascii="Tahoma" w:hAnsi="Tahoma" w:eastAsia="微软雅黑" w:cs="Times New Roman"/>
          <w:sz w:val="22"/>
          <w:szCs w:val="22"/>
          <w:highlight w:val="none"/>
          <w:lang w:val="en-US" w:eastAsia="zh-CN" w:bidi="ar-SA"/>
        </w:rPr>
      </w:r>
      <w:r/>
    </w:p>
    <w:p>
      <w:pPr>
        <w:pStyle w:val="1121"/>
        <w:ind w:firstLine="240"/>
        <w:rPr>
          <w:rFonts w:hint="eastAsia" w:ascii="宋体" w:hAnsi="宋体" w:eastAsia="宋体" w:cs="宋体"/>
          <w:sz w:val="24"/>
          <w:highlight w:val="none"/>
        </w:rPr>
      </w:pPr>
      <w:r>
        <w:rPr>
          <w:rFonts w:hint="eastAsia" w:ascii="宋体" w:hAnsi="宋体" w:eastAsia="宋体" w:cs="宋体"/>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Symbol">
    <w:panose1 w:val="05050102010706020507"/>
  </w:font>
  <w:font w:name="Wingdings">
    <w:panose1 w:val="05000000000000000000"/>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979"/>
        <w:rFonts w:hint="eastAsia"/>
      </w:rPr>
    </w:pPr>
    <w:r>
      <w:rPr>
        <w:rStyle w:val="979"/>
        <w:rFonts w:hint="eastAsia"/>
      </w:rPr>
      <w:t xml:space="preserve">            </w:t>
    </w:r>
    <w:r/>
  </w:p>
  <w:p>
    <w:pPr>
      <w:pStyle w:val="1127"/>
      <w:rPr>
        <w:rStyle w:val="979"/>
        <w:rFonts w:hint="eastAsia"/>
      </w:rPr>
      <w:framePr w:wrap="around" w:vAnchor="text" w:hAnchor="page" w:x="6104" w:y="52"/>
    </w:pPr>
    <w:r>
      <w:rPr>
        <w:rStyle w:val="979"/>
        <w:rFonts w:hint="eastAsia"/>
      </w:rPr>
      <w:t xml:space="preserve">                   </w:t>
    </w:r>
    <w:r/>
  </w:p>
  <w:p>
    <w:pPr>
      <w:pStyle w:val="1127"/>
      <w:jc w:val="center"/>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fldChar w:fldCharType="begin"/>
    </w:r>
    <w:r>
      <w:instrText xml:space="preserve">PAGE   \* MERGEFORMAT</w:instrText>
    </w:r>
    <w:r>
      <w:fldChar w:fldCharType="separate"/>
    </w:r>
    <w:r>
      <w:rPr>
        <w:lang w:val="zh-CN"/>
      </w:rPr>
      <w:t xml:space="preserve">90</w:t>
    </w:r>
    <w:r>
      <w:fldChar w:fldCharType="end"/>
    </w:r>
    <w:r/>
  </w:p>
  <w:p>
    <w:pPr>
      <w:pStyle w:val="112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127"/>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rFonts w:hint="eastAsia"/>
      </w:rPr>
      <w:t xml:space="preserve">第</w:t>
    </w:r>
    <w:r>
      <w:fldChar w:fldCharType="begin"/>
    </w:r>
    <w:r>
      <w:rPr>
        <w:rStyle w:val="979"/>
      </w:rPr>
      <w:instrText xml:space="preserve"> PAGE </w:instrText>
    </w:r>
    <w:r>
      <w:fldChar w:fldCharType="separate"/>
    </w:r>
    <w:r>
      <w:rPr>
        <w:rStyle w:val="979"/>
      </w:rPr>
      <w:t xml:space="preserve">1</w:t>
    </w:r>
    <w:r>
      <w:fldChar w:fldCharType="end"/>
    </w:r>
    <w:r>
      <w:rPr>
        <w:rStyle w:val="979"/>
        <w:rFonts w:hint="eastAsia"/>
      </w:rPr>
      <w:t xml:space="preserve">页，共</w:t>
    </w:r>
    <w:r>
      <w:fldChar w:fldCharType="begin"/>
    </w:r>
    <w:r>
      <w:rPr>
        <w:rStyle w:val="979"/>
      </w:rPr>
      <w:instrText xml:space="preserve"> NUMPAGES </w:instrText>
    </w:r>
    <w:r>
      <w:fldChar w:fldCharType="separate"/>
    </w:r>
    <w:r>
      <w:rPr>
        <w:rStyle w:val="979"/>
      </w:rPr>
      <w:t xml:space="preserve">8</w:t>
    </w:r>
    <w:r>
      <w:fldChar w:fldCharType="end"/>
    </w:r>
    <w:r>
      <w:rPr>
        <w:rStyle w:val="979"/>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fldChar w:fldCharType="begin"/>
    </w:r>
    <w:r>
      <w:instrText xml:space="preserve">PAGE   \* MERGEFORMAT</w:instrText>
    </w:r>
    <w:r>
      <w:fldChar w:fldCharType="separate"/>
    </w:r>
    <w:r>
      <w:rPr>
        <w:lang w:val="zh-CN"/>
      </w:rPr>
      <w:t xml:space="preserve">90</w:t>
    </w:r>
    <w:r>
      <w:fldChar w:fldCharType="end"/>
    </w:r>
    <w:r/>
  </w:p>
  <w:p>
    <w:pPr>
      <w:pStyle w:val="112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rPr>
        <w:rFonts w:hint="eastAsia"/>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rPr>
        <w:rFonts w:hint="eastAsia"/>
        <w:sz w:val="21"/>
      </w:rPr>
    </w:pPr>
    <w:r>
      <w:rPr>
        <w:rFonts w:hint="eastAsia"/>
        <w:sz w:val="21"/>
      </w:rPr>
      <w:t xml:space="preserve">苏美达国际技术贸易有限公司                                           SUMEC       </w:t>
    </w:r>
    <w:r/>
  </w:p>
  <w:p>
    <w:pPr>
      <w:pStyle w:val="959"/>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rPr>
        <w:rFonts w:hint="eastAsia"/>
        <w:sz w:val="21"/>
      </w:rPr>
    </w:pPr>
    <w:r>
      <w:rPr>
        <w:rFonts w:hint="eastAsia"/>
        <w:sz w:val="21"/>
      </w:rPr>
      <w:t xml:space="preserve">苏美达国际技术贸易有限公司                                           SUMEC       </w:t>
    </w:r>
    <w:r/>
  </w:p>
  <w:p>
    <w:pPr>
      <w:pStyle w:val="1126"/>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rPr>
        <w:rFonts w:hint="eastAsia"/>
        <w:sz w:val="21"/>
      </w:rPr>
    </w:pPr>
    <w:r>
      <w:rPr>
        <w:rFonts w:hint="eastAsia"/>
        <w:sz w:val="21"/>
      </w:rPr>
      <w:t xml:space="preserve">苏美达国际技术贸易有限公司                                           SUMEC       </w:t>
    </w:r>
    <w:r/>
  </w:p>
  <w:p>
    <w:pPr>
      <w:pStyle w:val="1126"/>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rPr>
        <w:rFonts w:hint="eastAsia"/>
        <w:sz w:val="21"/>
      </w:rPr>
    </w:pPr>
    <w:r>
      <w:rPr>
        <w:rFonts w:hint="eastAsia"/>
        <w:sz w:val="21"/>
      </w:rPr>
      <w:t xml:space="preserve">苏美达国际技术贸易有限公司                                           SUMEC       </w:t>
    </w:r>
    <w:r/>
  </w:p>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30"/>
      <w:isLgl w:val="false"/>
      <w:suff w:val="space"/>
      <w:lvlText w:val="%1."/>
      <w:lvlJc w:val="left"/>
      <w:pPr>
        <w:ind w:left="1486" w:hanging="1486"/>
      </w:pPr>
      <w:rPr>
        <w:color w:val="000000"/>
        <w:sz w:val="24"/>
        <w:szCs w:val="24"/>
      </w:rPr>
    </w:lvl>
    <w:lvl w:ilvl="1">
      <w:start w:val="1"/>
      <w:numFmt w:val="decimal"/>
      <w:pStyle w:val="1129"/>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128"/>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link w:val="1122"/>
    <w:uiPriority w:val="0"/>
    <w:qFormat/>
    <w:pPr>
      <w:jc w:val="both"/>
      <w:widowControl w:val="off"/>
    </w:pPr>
    <w:rPr>
      <w:rFonts w:hint="default" w:ascii="Times New Roman" w:hAnsi="Times New Roman" w:eastAsia="宋体" w:cs="Times New Roman"/>
      <w:sz w:val="21"/>
      <w:lang w:val="en-US" w:eastAsia="zh-CN" w:bidi="ar-SA"/>
    </w:rPr>
  </w:style>
  <w:style w:type="paragraph" w:styleId="870">
    <w:name w:val="Heading 1"/>
    <w:basedOn w:val="869"/>
    <w:next w:val="869"/>
    <w:link w:val="909"/>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10"/>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1"/>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2"/>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3"/>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5"/>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16"/>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right="0" w:firstLine="0"/>
      <w:spacing w:after="57"/>
    </w:pPr>
  </w:style>
  <w:style w:type="paragraph" w:styleId="882">
    <w:name w:val="Caption"/>
    <w:basedOn w:val="869"/>
    <w:next w:val="869"/>
    <w:uiPriority w:val="35"/>
    <w:semiHidden/>
    <w:unhideWhenUsed/>
    <w:qFormat/>
    <w:pPr>
      <w:spacing w:line="276" w:lineRule="auto"/>
    </w:pPr>
    <w:rPr>
      <w:b/>
      <w:bCs/>
      <w:color w:val="4f81bd" w:themeColor="accent1"/>
      <w:sz w:val="18"/>
      <w:szCs w:val="18"/>
    </w:rPr>
  </w:style>
  <w:style w:type="paragraph" w:styleId="883">
    <w:name w:val="annotation text"/>
    <w:basedOn w:val="869"/>
    <w:uiPriority w:val="99"/>
    <w:semiHidden/>
    <w:unhideWhenUsed/>
    <w:qFormat/>
    <w:pPr>
      <w:jc w:val="left"/>
    </w:pPr>
  </w:style>
  <w:style w:type="paragraph" w:styleId="884">
    <w:name w:val="Body Text"/>
    <w:basedOn w:val="869"/>
    <w:next w:val="869"/>
    <w:uiPriority w:val="0"/>
    <w:qFormat/>
    <w:rPr>
      <w:rFonts w:ascii="仿宋_GB2312" w:eastAsia="仿宋_GB2312"/>
      <w:sz w:val="28"/>
      <w:szCs w:val="20"/>
    </w:rPr>
  </w:style>
  <w:style w:type="paragraph" w:styleId="885">
    <w:name w:val="Block Text"/>
    <w:basedOn w:val="869"/>
    <w:uiPriority w:val="99"/>
    <w:unhideWhenUsed/>
    <w:qFormat/>
    <w:pPr>
      <w:ind w:left="1440" w:right="1440"/>
      <w:spacing w:after="120"/>
    </w:pPr>
  </w:style>
  <w:style w:type="paragraph" w:styleId="886">
    <w:name w:val="index 4"/>
    <w:basedOn w:val="869"/>
    <w:next w:val="869"/>
    <w:uiPriority w:val="0"/>
    <w:qFormat/>
    <w:pPr>
      <w:ind w:left="600"/>
    </w:pPr>
    <w:rPr>
      <w:rFonts w:ascii="Calibri" w:hAnsi="Calibri"/>
    </w:rPr>
  </w:style>
  <w:style w:type="paragraph" w:styleId="887">
    <w:name w:val="toc 5"/>
    <w:basedOn w:val="869"/>
    <w:next w:val="869"/>
    <w:uiPriority w:val="39"/>
    <w:unhideWhenUsed/>
    <w:qFormat/>
    <w:pPr>
      <w:ind w:left="1134" w:right="0" w:firstLine="0"/>
      <w:spacing w:after="57"/>
    </w:pPr>
  </w:style>
  <w:style w:type="paragraph" w:styleId="888">
    <w:name w:val="toc 3"/>
    <w:basedOn w:val="869"/>
    <w:next w:val="869"/>
    <w:uiPriority w:val="39"/>
    <w:unhideWhenUsed/>
    <w:qFormat/>
    <w:pPr>
      <w:ind w:left="567" w:right="0" w:firstLine="0"/>
      <w:spacing w:after="57"/>
    </w:pPr>
  </w:style>
  <w:style w:type="paragraph" w:styleId="889">
    <w:name w:val="toc 8"/>
    <w:basedOn w:val="869"/>
    <w:next w:val="869"/>
    <w:uiPriority w:val="39"/>
    <w:unhideWhenUsed/>
    <w:qFormat/>
    <w:pPr>
      <w:ind w:left="1984" w:right="0" w:firstLine="0"/>
      <w:spacing w:after="57"/>
    </w:pPr>
  </w:style>
  <w:style w:type="paragraph" w:styleId="890">
    <w:name w:val="endnote text"/>
    <w:basedOn w:val="869"/>
    <w:link w:val="926"/>
    <w:uiPriority w:val="99"/>
    <w:semiHidden/>
    <w:unhideWhenUsed/>
    <w:qFormat/>
    <w:pPr>
      <w:spacing w:after="0" w:line="240" w:lineRule="auto"/>
    </w:pPr>
    <w:rPr>
      <w:sz w:val="20"/>
    </w:rPr>
  </w:style>
  <w:style w:type="paragraph" w:styleId="891">
    <w:name w:val="Footer"/>
    <w:basedOn w:val="869"/>
    <w:uiPriority w:val="99"/>
    <w:unhideWhenUsed/>
    <w:qFormat/>
    <w:pPr>
      <w:spacing w:after="0" w:line="240" w:lineRule="auto"/>
      <w:tabs>
        <w:tab w:val="center" w:pos="7143" w:leader="none"/>
        <w:tab w:val="right" w:pos="14287" w:leader="none"/>
      </w:tabs>
    </w:pPr>
  </w:style>
  <w:style w:type="paragraph" w:styleId="892">
    <w:name w:val="Header"/>
    <w:basedOn w:val="869"/>
    <w:uiPriority w:val="99"/>
    <w:unhideWhenUsed/>
    <w:qFormat/>
    <w:pPr>
      <w:spacing w:after="0" w:line="240" w:lineRule="auto"/>
      <w:tabs>
        <w:tab w:val="center" w:pos="7143" w:leader="none"/>
        <w:tab w:val="right" w:pos="14287" w:leader="none"/>
      </w:tabs>
    </w:pPr>
  </w:style>
  <w:style w:type="paragraph" w:styleId="893">
    <w:name w:val="toc 1"/>
    <w:basedOn w:val="869"/>
    <w:next w:val="869"/>
    <w:uiPriority w:val="39"/>
    <w:unhideWhenUsed/>
    <w:qFormat/>
    <w:pPr>
      <w:ind w:left="0" w:right="0" w:firstLine="0"/>
      <w:spacing w:after="57"/>
    </w:pPr>
  </w:style>
  <w:style w:type="paragraph" w:styleId="894">
    <w:name w:val="toc 4"/>
    <w:basedOn w:val="869"/>
    <w:next w:val="869"/>
    <w:uiPriority w:val="39"/>
    <w:unhideWhenUsed/>
    <w:qFormat/>
    <w:pPr>
      <w:ind w:left="850" w:right="0" w:firstLine="0"/>
      <w:spacing w:after="57"/>
    </w:pPr>
  </w:style>
  <w:style w:type="paragraph" w:styleId="895">
    <w:name w:val="Subtitle"/>
    <w:basedOn w:val="869"/>
    <w:next w:val="869"/>
    <w:link w:val="920"/>
    <w:uiPriority w:val="11"/>
    <w:qFormat/>
    <w:pPr>
      <w:spacing w:before="200" w:after="200"/>
    </w:pPr>
    <w:rPr>
      <w:sz w:val="24"/>
      <w:szCs w:val="24"/>
    </w:rPr>
  </w:style>
  <w:style w:type="paragraph" w:styleId="896">
    <w:name w:val="footnote text"/>
    <w:basedOn w:val="869"/>
    <w:link w:val="925"/>
    <w:uiPriority w:val="99"/>
    <w:semiHidden/>
    <w:unhideWhenUsed/>
    <w:qFormat/>
    <w:pPr>
      <w:spacing w:after="40" w:line="240" w:lineRule="auto"/>
    </w:pPr>
    <w:rPr>
      <w:sz w:val="18"/>
    </w:rPr>
  </w:style>
  <w:style w:type="paragraph" w:styleId="897">
    <w:name w:val="toc 6"/>
    <w:basedOn w:val="869"/>
    <w:next w:val="869"/>
    <w:uiPriority w:val="39"/>
    <w:unhideWhenUsed/>
    <w:qFormat/>
    <w:pPr>
      <w:ind w:left="1417" w:right="0" w:firstLine="0"/>
      <w:spacing w:after="57"/>
    </w:pPr>
  </w:style>
  <w:style w:type="paragraph" w:styleId="898">
    <w:name w:val="table of figures"/>
    <w:basedOn w:val="869"/>
    <w:next w:val="869"/>
    <w:uiPriority w:val="99"/>
    <w:unhideWhenUsed/>
    <w:qFormat/>
    <w:pPr>
      <w:spacing w:after="0" w:afterAutospacing="0"/>
    </w:pPr>
  </w:style>
  <w:style w:type="paragraph" w:styleId="899">
    <w:name w:val="toc 2"/>
    <w:basedOn w:val="869"/>
    <w:next w:val="869"/>
    <w:uiPriority w:val="39"/>
    <w:unhideWhenUsed/>
    <w:qFormat/>
    <w:pPr>
      <w:ind w:left="283" w:right="0" w:firstLine="0"/>
      <w:spacing w:after="57"/>
    </w:pPr>
  </w:style>
  <w:style w:type="paragraph" w:styleId="900">
    <w:name w:val="toc 9"/>
    <w:basedOn w:val="869"/>
    <w:next w:val="869"/>
    <w:uiPriority w:val="39"/>
    <w:unhideWhenUsed/>
    <w:qFormat/>
    <w:pPr>
      <w:ind w:left="2268" w:right="0" w:firstLine="0"/>
      <w:spacing w:after="57"/>
    </w:pPr>
  </w:style>
  <w:style w:type="paragraph" w:styleId="901">
    <w:name w:val="Title"/>
    <w:basedOn w:val="869"/>
    <w:next w:val="869"/>
    <w:link w:val="919"/>
    <w:uiPriority w:val="10"/>
    <w:qFormat/>
    <w:pPr>
      <w:contextualSpacing/>
      <w:spacing w:before="300" w:after="200"/>
    </w:pPr>
    <w:rPr>
      <w:sz w:val="48"/>
      <w:szCs w:val="48"/>
    </w:rPr>
  </w:style>
  <w:style w:type="paragraph" w:styleId="902">
    <w:name w:val="Body Text First Indent"/>
    <w:uiPriority w:val="99"/>
    <w:unhideWhenUsed/>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9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basedOn w:val="879"/>
    <w:uiPriority w:val="22"/>
    <w:qFormat/>
    <w:rPr>
      <w:b/>
    </w:rPr>
  </w:style>
  <w:style w:type="character" w:styleId="905">
    <w:name w:val="endnote reference"/>
    <w:uiPriority w:val="99"/>
    <w:semiHidden/>
    <w:unhideWhenUsed/>
    <w:qFormat/>
    <w:rPr>
      <w:vertAlign w:val="superscript"/>
    </w:rPr>
  </w:style>
  <w:style w:type="character" w:styleId="906">
    <w:name w:val="Hyperlink"/>
    <w:uiPriority w:val="99"/>
    <w:unhideWhenUsed/>
    <w:qFormat/>
    <w:rPr>
      <w:color w:val="0000ff" w:themeColor="hyperlink"/>
      <w:u w:val="single"/>
    </w:rPr>
  </w:style>
  <w:style w:type="character" w:styleId="907">
    <w:name w:val="footnote reference"/>
    <w:uiPriority w:val="99"/>
    <w:unhideWhenUsed/>
    <w:qFormat/>
    <w:rPr>
      <w:vertAlign w:val="superscript"/>
    </w:rPr>
  </w:style>
  <w:style w:type="paragraph" w:styleId="908" w:customStyle="1">
    <w:name w:val="索引 41"/>
    <w:basedOn w:val="869"/>
    <w:next w:val="869"/>
    <w:uiPriority w:val="99"/>
    <w:qFormat/>
    <w:pPr>
      <w:ind w:left="600"/>
    </w:pPr>
    <w:rPr>
      <w:szCs w:val="24"/>
    </w:rPr>
  </w:style>
  <w:style w:type="character" w:styleId="909" w:customStyle="1">
    <w:name w:val="Heading 1 Char"/>
    <w:link w:val="870"/>
    <w:uiPriority w:val="9"/>
    <w:qFormat/>
    <w:rPr>
      <w:rFonts w:ascii="Arial" w:hAnsi="Arial" w:eastAsia="Arial" w:cs="Arial"/>
      <w:sz w:val="40"/>
      <w:szCs w:val="40"/>
    </w:rPr>
  </w:style>
  <w:style w:type="character" w:styleId="910" w:customStyle="1">
    <w:name w:val="Heading 2 Char"/>
    <w:link w:val="871"/>
    <w:uiPriority w:val="9"/>
    <w:qFormat/>
    <w:rPr>
      <w:rFonts w:ascii="Arial" w:hAnsi="Arial" w:eastAsia="Arial" w:cs="Arial"/>
      <w:sz w:val="34"/>
    </w:rPr>
  </w:style>
  <w:style w:type="character" w:styleId="911" w:customStyle="1">
    <w:name w:val="Heading 4 Char"/>
    <w:link w:val="873"/>
    <w:uiPriority w:val="9"/>
    <w:qFormat/>
    <w:rPr>
      <w:rFonts w:ascii="Arial" w:hAnsi="Arial" w:eastAsia="Arial" w:cs="Arial"/>
      <w:b/>
      <w:bCs/>
      <w:sz w:val="26"/>
      <w:szCs w:val="26"/>
    </w:rPr>
  </w:style>
  <w:style w:type="character" w:styleId="912" w:customStyle="1">
    <w:name w:val="Heading 5 Char"/>
    <w:link w:val="874"/>
    <w:uiPriority w:val="9"/>
    <w:qFormat/>
    <w:rPr>
      <w:rFonts w:ascii="Arial" w:hAnsi="Arial" w:eastAsia="Arial" w:cs="Arial"/>
      <w:b/>
      <w:bCs/>
      <w:sz w:val="24"/>
      <w:szCs w:val="24"/>
    </w:rPr>
  </w:style>
  <w:style w:type="character" w:styleId="913" w:customStyle="1">
    <w:name w:val="Heading 6 Char"/>
    <w:link w:val="875"/>
    <w:uiPriority w:val="9"/>
    <w:qFormat/>
    <w:rPr>
      <w:rFonts w:ascii="Arial" w:hAnsi="Arial" w:eastAsia="Arial" w:cs="Arial"/>
      <w:b/>
      <w:bCs/>
      <w:sz w:val="22"/>
      <w:szCs w:val="22"/>
    </w:rPr>
  </w:style>
  <w:style w:type="character" w:styleId="914" w:customStyle="1">
    <w:name w:val="Heading 7 Char"/>
    <w:link w:val="876"/>
    <w:uiPriority w:val="9"/>
    <w:qFormat/>
    <w:rPr>
      <w:rFonts w:ascii="Arial" w:hAnsi="Arial" w:eastAsia="Arial" w:cs="Arial"/>
      <w:b/>
      <w:bCs/>
      <w:i/>
      <w:iCs/>
      <w:sz w:val="22"/>
      <w:szCs w:val="22"/>
    </w:rPr>
  </w:style>
  <w:style w:type="character" w:styleId="915" w:customStyle="1">
    <w:name w:val="Heading 8 Char"/>
    <w:link w:val="877"/>
    <w:uiPriority w:val="9"/>
    <w:qFormat/>
    <w:rPr>
      <w:rFonts w:ascii="Arial" w:hAnsi="Arial" w:eastAsia="Arial" w:cs="Arial"/>
      <w:i/>
      <w:iCs/>
      <w:sz w:val="22"/>
      <w:szCs w:val="22"/>
    </w:rPr>
  </w:style>
  <w:style w:type="character" w:styleId="916" w:customStyle="1">
    <w:name w:val="Heading 9 Char"/>
    <w:link w:val="878"/>
    <w:uiPriority w:val="9"/>
    <w:qFormat/>
    <w:rPr>
      <w:rFonts w:ascii="Arial" w:hAnsi="Arial" w:eastAsia="Arial" w:cs="Arial"/>
      <w:i/>
      <w:iCs/>
      <w:sz w:val="21"/>
      <w:szCs w:val="21"/>
    </w:rPr>
  </w:style>
  <w:style w:type="paragraph" w:styleId="917">
    <w:name w:val="List Paragraph"/>
    <w:basedOn w:val="869"/>
    <w:uiPriority w:val="34"/>
    <w:qFormat/>
    <w:pPr>
      <w:contextualSpacing/>
      <w:ind w:left="720"/>
    </w:pPr>
  </w:style>
  <w:style w:type="paragraph" w:styleId="918">
    <w:name w:val="No Spacing"/>
    <w:uiPriority w:val="1"/>
    <w:qFormat/>
    <w:pPr>
      <w:spacing w:before="0" w:after="0" w:line="240" w:lineRule="auto"/>
    </w:pPr>
    <w:rPr>
      <w:rFonts w:hint="default" w:ascii="Times New Roman" w:hAnsi="Times New Roman" w:eastAsia="宋体" w:cs="Times New Roman"/>
    </w:rPr>
  </w:style>
  <w:style w:type="character" w:styleId="919" w:customStyle="1">
    <w:name w:val="Title Char"/>
    <w:link w:val="901"/>
    <w:uiPriority w:val="10"/>
    <w:qFormat/>
    <w:rPr>
      <w:sz w:val="48"/>
      <w:szCs w:val="48"/>
    </w:rPr>
  </w:style>
  <w:style w:type="character" w:styleId="920" w:customStyle="1">
    <w:name w:val="Subtitle Char"/>
    <w:link w:val="895"/>
    <w:uiPriority w:val="11"/>
    <w:qFormat/>
    <w:rPr>
      <w:sz w:val="24"/>
      <w:szCs w:val="24"/>
    </w:rPr>
  </w:style>
  <w:style w:type="paragraph" w:styleId="921">
    <w:name w:val="Quote"/>
    <w:basedOn w:val="869"/>
    <w:next w:val="869"/>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69"/>
    <w:next w:val="869"/>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Footnote Text Char"/>
    <w:link w:val="896"/>
    <w:uiPriority w:val="99"/>
    <w:qFormat/>
    <w:rPr>
      <w:sz w:val="18"/>
    </w:rPr>
  </w:style>
  <w:style w:type="character" w:styleId="926" w:customStyle="1">
    <w:name w:val="Endnote Text Char"/>
    <w:link w:val="890"/>
    <w:uiPriority w:val="99"/>
    <w:qFormat/>
    <w:rPr>
      <w:sz w:val="20"/>
    </w:rPr>
  </w:style>
  <w:style w:type="paragraph" w:styleId="927" w:customStyle="1">
    <w:name w:val="标题 11"/>
    <w:basedOn w:val="869"/>
    <w:next w:val="869"/>
    <w:link w:val="938"/>
    <w:uiPriority w:val="9"/>
    <w:qFormat/>
    <w:pPr>
      <w:keepLines/>
      <w:keepNext/>
      <w:spacing w:before="480" w:after="200"/>
      <w:outlineLvl w:val="0"/>
    </w:pPr>
    <w:rPr>
      <w:rFonts w:ascii="Arial" w:hAnsi="Arial" w:eastAsia="Arial" w:cs="Arial"/>
      <w:sz w:val="40"/>
      <w:szCs w:val="40"/>
    </w:rPr>
  </w:style>
  <w:style w:type="paragraph" w:styleId="928" w:customStyle="1">
    <w:name w:val="标题 21"/>
    <w:basedOn w:val="869"/>
    <w:next w:val="869"/>
    <w:link w:val="939"/>
    <w:uiPriority w:val="9"/>
    <w:qFormat/>
    <w:pPr>
      <w:keepLines/>
      <w:keepNext/>
      <w:spacing w:before="360" w:after="200"/>
      <w:outlineLvl w:val="1"/>
    </w:pPr>
    <w:rPr>
      <w:rFonts w:ascii="Arial" w:hAnsi="Arial" w:eastAsia="Arial" w:cs="Arial"/>
      <w:sz w:val="34"/>
    </w:rPr>
  </w:style>
  <w:style w:type="paragraph" w:styleId="929" w:customStyle="1">
    <w:name w:val="标题 311"/>
    <w:basedOn w:val="869"/>
    <w:next w:val="869"/>
    <w:uiPriority w:val="9"/>
    <w:qFormat/>
    <w:pPr>
      <w:keepLines/>
      <w:keepNext/>
      <w:spacing w:before="320" w:after="200"/>
      <w:outlineLvl w:val="2"/>
    </w:pPr>
    <w:rPr>
      <w:rFonts w:ascii="Arial" w:hAnsi="Arial" w:eastAsia="Arial" w:cs="Arial"/>
      <w:sz w:val="30"/>
      <w:szCs w:val="30"/>
    </w:rPr>
  </w:style>
  <w:style w:type="paragraph" w:styleId="930" w:customStyle="1">
    <w:name w:val="标题 41"/>
    <w:basedOn w:val="869"/>
    <w:next w:val="869"/>
    <w:link w:val="940"/>
    <w:uiPriority w:val="9"/>
    <w:qFormat/>
    <w:pPr>
      <w:keepLines/>
      <w:keepNext/>
      <w:spacing w:before="320" w:after="200"/>
      <w:outlineLvl w:val="3"/>
    </w:pPr>
    <w:rPr>
      <w:rFonts w:ascii="Arial" w:hAnsi="Arial" w:eastAsia="Arial" w:cs="Arial"/>
      <w:b/>
      <w:bCs/>
      <w:sz w:val="26"/>
      <w:szCs w:val="26"/>
    </w:rPr>
  </w:style>
  <w:style w:type="paragraph" w:styleId="931" w:customStyle="1">
    <w:name w:val="标题 51"/>
    <w:basedOn w:val="869"/>
    <w:next w:val="869"/>
    <w:link w:val="941"/>
    <w:uiPriority w:val="9"/>
    <w:qFormat/>
    <w:pPr>
      <w:keepLines/>
      <w:keepNext/>
      <w:spacing w:before="320" w:after="200"/>
      <w:outlineLvl w:val="4"/>
    </w:pPr>
    <w:rPr>
      <w:rFonts w:ascii="Arial" w:hAnsi="Arial" w:eastAsia="Arial" w:cs="Arial"/>
      <w:b/>
      <w:bCs/>
      <w:sz w:val="24"/>
      <w:szCs w:val="24"/>
    </w:rPr>
  </w:style>
  <w:style w:type="paragraph" w:styleId="932" w:customStyle="1">
    <w:name w:val="标题 61"/>
    <w:basedOn w:val="869"/>
    <w:next w:val="869"/>
    <w:link w:val="942"/>
    <w:uiPriority w:val="9"/>
    <w:qFormat/>
    <w:pPr>
      <w:keepLines/>
      <w:keepNext/>
      <w:spacing w:before="320" w:after="200"/>
      <w:outlineLvl w:val="5"/>
    </w:pPr>
    <w:rPr>
      <w:rFonts w:ascii="Arial" w:hAnsi="Arial" w:eastAsia="Arial" w:cs="Arial"/>
      <w:b/>
      <w:bCs/>
      <w:sz w:val="22"/>
      <w:szCs w:val="22"/>
    </w:rPr>
  </w:style>
  <w:style w:type="paragraph" w:styleId="933" w:customStyle="1">
    <w:name w:val="标题 71"/>
    <w:basedOn w:val="869"/>
    <w:next w:val="869"/>
    <w:link w:val="943"/>
    <w:uiPriority w:val="9"/>
    <w:qFormat/>
    <w:pPr>
      <w:keepLines/>
      <w:keepNext/>
      <w:spacing w:before="320" w:after="200"/>
      <w:outlineLvl w:val="6"/>
    </w:pPr>
    <w:rPr>
      <w:rFonts w:ascii="Arial" w:hAnsi="Arial" w:eastAsia="Arial" w:cs="Arial"/>
      <w:b/>
      <w:bCs/>
      <w:i/>
      <w:iCs/>
      <w:sz w:val="22"/>
      <w:szCs w:val="22"/>
    </w:rPr>
  </w:style>
  <w:style w:type="paragraph" w:styleId="934" w:customStyle="1">
    <w:name w:val="标题 81"/>
    <w:basedOn w:val="869"/>
    <w:next w:val="869"/>
    <w:link w:val="944"/>
    <w:uiPriority w:val="9"/>
    <w:qFormat/>
    <w:pPr>
      <w:keepLines/>
      <w:keepNext/>
      <w:spacing w:before="320" w:after="200"/>
      <w:outlineLvl w:val="7"/>
    </w:pPr>
    <w:rPr>
      <w:rFonts w:ascii="Arial" w:hAnsi="Arial" w:eastAsia="Arial" w:cs="Arial"/>
      <w:i/>
      <w:iCs/>
      <w:sz w:val="22"/>
      <w:szCs w:val="22"/>
    </w:rPr>
  </w:style>
  <w:style w:type="paragraph" w:styleId="935" w:customStyle="1">
    <w:name w:val="标题 91"/>
    <w:basedOn w:val="869"/>
    <w:next w:val="869"/>
    <w:link w:val="945"/>
    <w:uiPriority w:val="9"/>
    <w:qFormat/>
    <w:pPr>
      <w:keepLines/>
      <w:keepNext/>
      <w:spacing w:before="320" w:after="200"/>
      <w:outlineLvl w:val="8"/>
    </w:pPr>
    <w:rPr>
      <w:rFonts w:ascii="Arial" w:hAnsi="Arial" w:eastAsia="Arial" w:cs="Arial"/>
      <w:i/>
      <w:iCs/>
      <w:sz w:val="21"/>
      <w:szCs w:val="21"/>
    </w:rPr>
  </w:style>
  <w:style w:type="character" w:styleId="936" w:customStyle="1">
    <w:name w:val="默认段落字体1"/>
    <w:link w:val="869"/>
    <w:uiPriority w:val="0"/>
    <w:semiHidden/>
    <w:qFormat/>
  </w:style>
  <w:style w:type="table" w:styleId="937" w:customStyle="1">
    <w:name w:val="普通表格1"/>
    <w:uiPriority w:val="0"/>
    <w:semiHidden/>
    <w:qFormat/>
    <w:tblPr/>
  </w:style>
  <w:style w:type="character" w:styleId="938" w:customStyle="1">
    <w:name w:val="标题 1 字符"/>
    <w:link w:val="927"/>
    <w:uiPriority w:val="9"/>
    <w:qFormat/>
    <w:rPr>
      <w:rFonts w:ascii="Arial" w:hAnsi="Arial" w:eastAsia="Arial" w:cs="Arial"/>
      <w:sz w:val="40"/>
      <w:szCs w:val="40"/>
    </w:rPr>
  </w:style>
  <w:style w:type="character" w:styleId="939" w:customStyle="1">
    <w:name w:val="标题 2 字符"/>
    <w:link w:val="928"/>
    <w:uiPriority w:val="9"/>
    <w:qFormat/>
    <w:rPr>
      <w:rFonts w:ascii="Arial" w:hAnsi="Arial" w:eastAsia="Arial" w:cs="Arial"/>
      <w:sz w:val="34"/>
    </w:rPr>
  </w:style>
  <w:style w:type="character" w:styleId="940" w:customStyle="1">
    <w:name w:val="标题 4 字符"/>
    <w:link w:val="930"/>
    <w:uiPriority w:val="9"/>
    <w:qFormat/>
    <w:rPr>
      <w:rFonts w:ascii="Arial" w:hAnsi="Arial" w:eastAsia="Arial" w:cs="Arial"/>
      <w:b/>
      <w:bCs/>
      <w:sz w:val="26"/>
      <w:szCs w:val="26"/>
    </w:rPr>
  </w:style>
  <w:style w:type="character" w:styleId="941" w:customStyle="1">
    <w:name w:val="标题 5 字符"/>
    <w:link w:val="931"/>
    <w:uiPriority w:val="9"/>
    <w:qFormat/>
    <w:rPr>
      <w:rFonts w:ascii="Arial" w:hAnsi="Arial" w:eastAsia="Arial" w:cs="Arial"/>
      <w:b/>
      <w:bCs/>
      <w:sz w:val="24"/>
      <w:szCs w:val="24"/>
    </w:rPr>
  </w:style>
  <w:style w:type="character" w:styleId="942" w:customStyle="1">
    <w:name w:val="标题 6 字符"/>
    <w:link w:val="932"/>
    <w:uiPriority w:val="9"/>
    <w:qFormat/>
    <w:rPr>
      <w:rFonts w:ascii="Arial" w:hAnsi="Arial" w:eastAsia="Arial" w:cs="Arial"/>
      <w:b/>
      <w:bCs/>
      <w:sz w:val="22"/>
      <w:szCs w:val="22"/>
    </w:rPr>
  </w:style>
  <w:style w:type="character" w:styleId="943" w:customStyle="1">
    <w:name w:val="标题 7 字符"/>
    <w:link w:val="933"/>
    <w:uiPriority w:val="9"/>
    <w:qFormat/>
    <w:rPr>
      <w:rFonts w:ascii="Arial" w:hAnsi="Arial" w:eastAsia="Arial" w:cs="Arial"/>
      <w:b/>
      <w:bCs/>
      <w:i/>
      <w:iCs/>
      <w:sz w:val="22"/>
      <w:szCs w:val="22"/>
    </w:rPr>
  </w:style>
  <w:style w:type="character" w:styleId="944" w:customStyle="1">
    <w:name w:val="标题 8 字符"/>
    <w:link w:val="934"/>
    <w:uiPriority w:val="9"/>
    <w:qFormat/>
    <w:rPr>
      <w:rFonts w:ascii="Arial" w:hAnsi="Arial" w:eastAsia="Arial" w:cs="Arial"/>
      <w:i/>
      <w:iCs/>
      <w:sz w:val="22"/>
      <w:szCs w:val="22"/>
    </w:rPr>
  </w:style>
  <w:style w:type="character" w:styleId="945" w:customStyle="1">
    <w:name w:val="标题 9 字符"/>
    <w:link w:val="935"/>
    <w:uiPriority w:val="9"/>
    <w:qFormat/>
    <w:rPr>
      <w:rFonts w:ascii="Arial" w:hAnsi="Arial" w:eastAsia="Arial" w:cs="Arial"/>
      <w:i/>
      <w:iCs/>
      <w:sz w:val="21"/>
      <w:szCs w:val="21"/>
    </w:rPr>
  </w:style>
  <w:style w:type="paragraph" w:styleId="946" w:customStyle="1">
    <w:name w:val="目录 71"/>
    <w:basedOn w:val="869"/>
    <w:next w:val="869"/>
    <w:uiPriority w:val="39"/>
    <w:unhideWhenUsed/>
    <w:qFormat/>
    <w:pPr>
      <w:ind w:left="1701" w:right="0" w:firstLine="0"/>
      <w:spacing w:after="57"/>
    </w:pPr>
  </w:style>
  <w:style w:type="paragraph" w:styleId="947" w:customStyle="1">
    <w:name w:val="正文缩进11"/>
    <w:basedOn w:val="869"/>
    <w:uiPriority w:val="0"/>
    <w:qFormat/>
    <w:pPr>
      <w:ind w:firstLine="420"/>
    </w:pPr>
  </w:style>
  <w:style w:type="paragraph" w:styleId="948" w:customStyle="1">
    <w:name w:val="题注1"/>
    <w:basedOn w:val="869"/>
    <w:next w:val="869"/>
    <w:uiPriority w:val="35"/>
    <w:qFormat/>
    <w:pPr>
      <w:spacing w:line="276" w:lineRule="auto"/>
    </w:pPr>
    <w:rPr>
      <w:b/>
      <w:bCs/>
      <w:color w:val="4874cb"/>
      <w:sz w:val="18"/>
      <w:szCs w:val="18"/>
    </w:rPr>
  </w:style>
  <w:style w:type="paragraph" w:styleId="949" w:customStyle="1">
    <w:name w:val="批注文字1"/>
    <w:basedOn w:val="869"/>
    <w:uiPriority w:val="99"/>
    <w:unhideWhenUsed/>
    <w:qFormat/>
    <w:pPr>
      <w:jc w:val="left"/>
    </w:pPr>
  </w:style>
  <w:style w:type="paragraph" w:styleId="950" w:customStyle="1">
    <w:name w:val="正文文本11"/>
    <w:basedOn w:val="869"/>
    <w:next w:val="869"/>
    <w:uiPriority w:val="99"/>
    <w:qFormat/>
    <w:rPr>
      <w:rFonts w:ascii="华文中宋" w:eastAsia="华文中宋"/>
      <w:bCs/>
      <w:sz w:val="28"/>
    </w:rPr>
  </w:style>
  <w:style w:type="paragraph" w:styleId="951" w:customStyle="1">
    <w:name w:val="正文文本缩进1"/>
    <w:basedOn w:val="869"/>
    <w:uiPriority w:val="0"/>
    <w:qFormat/>
    <w:pPr>
      <w:ind w:firstLine="560"/>
    </w:pPr>
    <w:rPr>
      <w:rFonts w:ascii="仿宋_GB2312" w:eastAsia="仿宋_GB2312"/>
      <w:sz w:val="28"/>
    </w:rPr>
  </w:style>
  <w:style w:type="paragraph" w:styleId="952" w:customStyle="1">
    <w:name w:val="目录 51"/>
    <w:basedOn w:val="869"/>
    <w:next w:val="869"/>
    <w:uiPriority w:val="39"/>
    <w:unhideWhenUsed/>
    <w:qFormat/>
    <w:pPr>
      <w:ind w:left="1134" w:right="0" w:firstLine="0"/>
      <w:spacing w:after="57"/>
    </w:pPr>
  </w:style>
  <w:style w:type="paragraph" w:styleId="953" w:customStyle="1">
    <w:name w:val="目录 311"/>
    <w:basedOn w:val="869"/>
    <w:next w:val="869"/>
    <w:uiPriority w:val="39"/>
    <w:unhideWhenUsed/>
    <w:qFormat/>
    <w:pPr>
      <w:ind w:left="567" w:right="0" w:firstLine="0"/>
      <w:spacing w:after="57"/>
    </w:pPr>
  </w:style>
  <w:style w:type="paragraph" w:styleId="954" w:customStyle="1">
    <w:name w:val="纯文本1"/>
    <w:basedOn w:val="869"/>
    <w:uiPriority w:val="0"/>
    <w:qFormat/>
    <w:pPr>
      <w:jc w:val="left"/>
      <w:widowControl/>
    </w:pPr>
    <w:rPr>
      <w:rFonts w:ascii="宋体" w:hAnsi="Courier New"/>
    </w:rPr>
  </w:style>
  <w:style w:type="paragraph" w:styleId="955" w:customStyle="1">
    <w:name w:val="目录 81"/>
    <w:basedOn w:val="869"/>
    <w:next w:val="869"/>
    <w:uiPriority w:val="39"/>
    <w:unhideWhenUsed/>
    <w:qFormat/>
    <w:pPr>
      <w:ind w:left="1984" w:right="0" w:firstLine="0"/>
      <w:spacing w:after="57"/>
    </w:pPr>
  </w:style>
  <w:style w:type="paragraph" w:styleId="956" w:customStyle="1">
    <w:name w:val="尾注文本1"/>
    <w:basedOn w:val="869"/>
    <w:link w:val="957"/>
    <w:uiPriority w:val="99"/>
    <w:unhideWhenUsed/>
    <w:qFormat/>
    <w:pPr>
      <w:spacing w:after="0" w:line="240" w:lineRule="auto"/>
    </w:pPr>
    <w:rPr>
      <w:sz w:val="20"/>
    </w:rPr>
  </w:style>
  <w:style w:type="character" w:styleId="957" w:customStyle="1">
    <w:name w:val="尾注文本 字符"/>
    <w:link w:val="956"/>
    <w:uiPriority w:val="99"/>
    <w:qFormat/>
    <w:rPr>
      <w:sz w:val="20"/>
    </w:rPr>
  </w:style>
  <w:style w:type="paragraph" w:styleId="958" w:customStyle="1">
    <w:name w:val="页脚11"/>
    <w:basedOn w:val="869"/>
    <w:uiPriority w:val="99"/>
    <w:unhideWhenUsed/>
    <w:qFormat/>
    <w:pPr>
      <w:spacing w:after="0" w:line="240" w:lineRule="auto"/>
      <w:tabs>
        <w:tab w:val="center" w:pos="7143" w:leader="none"/>
        <w:tab w:val="right" w:pos="14287" w:leader="none"/>
      </w:tabs>
    </w:pPr>
  </w:style>
  <w:style w:type="paragraph" w:styleId="959" w:customStyle="1">
    <w:name w:val="页眉11"/>
    <w:basedOn w:val="869"/>
    <w:uiPriority w:val="99"/>
    <w:unhideWhenUsed/>
    <w:qFormat/>
    <w:pPr>
      <w:spacing w:after="0" w:line="240" w:lineRule="auto"/>
      <w:tabs>
        <w:tab w:val="center" w:pos="7143" w:leader="none"/>
        <w:tab w:val="right" w:pos="14287" w:leader="none"/>
      </w:tabs>
    </w:pPr>
  </w:style>
  <w:style w:type="paragraph" w:styleId="960" w:customStyle="1">
    <w:name w:val="目录 111"/>
    <w:basedOn w:val="869"/>
    <w:next w:val="869"/>
    <w:uiPriority w:val="39"/>
    <w:unhideWhenUsed/>
    <w:qFormat/>
    <w:pPr>
      <w:ind w:left="0" w:right="0" w:firstLine="0"/>
      <w:spacing w:after="57"/>
    </w:pPr>
  </w:style>
  <w:style w:type="paragraph" w:styleId="961" w:customStyle="1">
    <w:name w:val="目录 41"/>
    <w:basedOn w:val="869"/>
    <w:next w:val="869"/>
    <w:uiPriority w:val="39"/>
    <w:unhideWhenUsed/>
    <w:qFormat/>
    <w:pPr>
      <w:ind w:left="850" w:right="0" w:firstLine="0"/>
      <w:spacing w:after="57"/>
    </w:pPr>
  </w:style>
  <w:style w:type="paragraph" w:styleId="962" w:customStyle="1">
    <w:name w:val="副标题1"/>
    <w:basedOn w:val="869"/>
    <w:next w:val="869"/>
    <w:link w:val="963"/>
    <w:uiPriority w:val="11"/>
    <w:qFormat/>
    <w:pPr>
      <w:spacing w:before="200" w:after="200"/>
    </w:pPr>
    <w:rPr>
      <w:sz w:val="24"/>
      <w:szCs w:val="24"/>
    </w:rPr>
  </w:style>
  <w:style w:type="character" w:styleId="963" w:customStyle="1">
    <w:name w:val="副标题 字符"/>
    <w:link w:val="962"/>
    <w:uiPriority w:val="11"/>
    <w:qFormat/>
    <w:rPr>
      <w:sz w:val="24"/>
      <w:szCs w:val="24"/>
    </w:rPr>
  </w:style>
  <w:style w:type="paragraph" w:styleId="964" w:customStyle="1">
    <w:name w:val="脚注文本1"/>
    <w:basedOn w:val="869"/>
    <w:link w:val="965"/>
    <w:uiPriority w:val="99"/>
    <w:unhideWhenUsed/>
    <w:qFormat/>
    <w:pPr>
      <w:spacing w:after="40" w:line="240" w:lineRule="auto"/>
    </w:pPr>
    <w:rPr>
      <w:sz w:val="18"/>
    </w:rPr>
  </w:style>
  <w:style w:type="character" w:styleId="965" w:customStyle="1">
    <w:name w:val="脚注文本 字符"/>
    <w:link w:val="964"/>
    <w:uiPriority w:val="99"/>
    <w:qFormat/>
    <w:rPr>
      <w:sz w:val="18"/>
    </w:rPr>
  </w:style>
  <w:style w:type="paragraph" w:styleId="966" w:customStyle="1">
    <w:name w:val="目录 61"/>
    <w:basedOn w:val="869"/>
    <w:next w:val="869"/>
    <w:uiPriority w:val="39"/>
    <w:unhideWhenUsed/>
    <w:qFormat/>
    <w:pPr>
      <w:ind w:left="1417" w:right="0" w:firstLine="0"/>
      <w:spacing w:after="57"/>
    </w:pPr>
  </w:style>
  <w:style w:type="paragraph" w:styleId="967" w:customStyle="1">
    <w:name w:val="图表目录1"/>
    <w:basedOn w:val="869"/>
    <w:next w:val="869"/>
    <w:uiPriority w:val="99"/>
    <w:unhideWhenUsed/>
    <w:qFormat/>
    <w:pPr>
      <w:spacing w:after="0" w:afterAutospacing="0"/>
    </w:pPr>
  </w:style>
  <w:style w:type="paragraph" w:styleId="968" w:customStyle="1">
    <w:name w:val="目录 21"/>
    <w:basedOn w:val="869"/>
    <w:next w:val="869"/>
    <w:uiPriority w:val="39"/>
    <w:unhideWhenUsed/>
    <w:qFormat/>
    <w:pPr>
      <w:ind w:left="283" w:right="0" w:firstLine="0"/>
      <w:spacing w:after="57"/>
    </w:pPr>
  </w:style>
  <w:style w:type="paragraph" w:styleId="969" w:customStyle="1">
    <w:name w:val="目录 91"/>
    <w:basedOn w:val="869"/>
    <w:next w:val="869"/>
    <w:uiPriority w:val="39"/>
    <w:unhideWhenUsed/>
    <w:qFormat/>
    <w:pPr>
      <w:ind w:left="2268" w:right="0" w:firstLine="0"/>
      <w:spacing w:after="57"/>
    </w:pPr>
  </w:style>
  <w:style w:type="paragraph" w:styleId="970" w:customStyle="1">
    <w:name w:val="普通(网站)11"/>
    <w:basedOn w:val="869"/>
    <w:uiPriority w:val="0"/>
    <w:qFormat/>
    <w:pPr>
      <w:jc w:val="left"/>
      <w:spacing w:beforeAutospacing="1" w:afterAutospacing="1"/>
    </w:pPr>
    <w:rPr>
      <w:rFonts w:cs="Times New Roman"/>
      <w:sz w:val="24"/>
    </w:rPr>
  </w:style>
  <w:style w:type="paragraph" w:styleId="971" w:customStyle="1">
    <w:name w:val="标题1"/>
    <w:basedOn w:val="869"/>
    <w:next w:val="869"/>
    <w:link w:val="972"/>
    <w:uiPriority w:val="10"/>
    <w:qFormat/>
    <w:pPr>
      <w:contextualSpacing/>
      <w:spacing w:before="300" w:after="200"/>
    </w:pPr>
    <w:rPr>
      <w:sz w:val="48"/>
      <w:szCs w:val="48"/>
    </w:rPr>
  </w:style>
  <w:style w:type="character" w:styleId="972" w:customStyle="1">
    <w:name w:val="标题 字符"/>
    <w:link w:val="971"/>
    <w:uiPriority w:val="10"/>
    <w:qFormat/>
    <w:rPr>
      <w:sz w:val="48"/>
      <w:szCs w:val="48"/>
    </w:rPr>
  </w:style>
  <w:style w:type="table" w:styleId="973" w:customStyle="1">
    <w:name w:val="网格型1"/>
    <w:uiPriority w:val="59"/>
    <w:qFormat/>
    <w:rPr>
      <w:lang w:val="en-US" w:eastAsia="zh-CN" w:bidi="ar-SA"/>
    </w:rPr>
    <w:tblPr/>
  </w:style>
  <w:style w:type="character" w:styleId="974" w:customStyle="1">
    <w:name w:val="尾注引用1"/>
    <w:link w:val="869"/>
    <w:uiPriority w:val="99"/>
    <w:unhideWhenUsed/>
    <w:qFormat/>
    <w:rPr>
      <w:vertAlign w:val="superscript"/>
    </w:rPr>
  </w:style>
  <w:style w:type="character" w:styleId="975" w:customStyle="1">
    <w:name w:val="页码11"/>
    <w:link w:val="869"/>
    <w:uiPriority w:val="0"/>
    <w:qFormat/>
  </w:style>
  <w:style w:type="character" w:styleId="976" w:customStyle="1">
    <w:name w:val="超链接11"/>
    <w:link w:val="869"/>
    <w:uiPriority w:val="99"/>
    <w:unhideWhenUsed/>
    <w:qFormat/>
    <w:rPr>
      <w:color w:val="0026e5"/>
      <w:u w:val="single"/>
    </w:rPr>
  </w:style>
  <w:style w:type="character" w:styleId="977" w:customStyle="1">
    <w:name w:val="脚注引用1"/>
    <w:link w:val="869"/>
    <w:uiPriority w:val="99"/>
    <w:unhideWhenUsed/>
    <w:qFormat/>
    <w:rPr>
      <w:vertAlign w:val="superscript"/>
    </w:rPr>
  </w:style>
  <w:style w:type="character" w:styleId="978" w:customStyle="1">
    <w:name w:val="要点1"/>
    <w:link w:val="869"/>
    <w:uiPriority w:val="0"/>
    <w:qFormat/>
    <w:rPr>
      <w:rFonts w:ascii="Times New Roman" w:hAnsi="Times New Roman" w:eastAsia="宋体" w:cs="Times New Roman"/>
      <w:sz w:val="21"/>
      <w:lang w:val="en-US" w:eastAsia="zh-CN" w:bidi="ar-SA"/>
    </w:rPr>
  </w:style>
  <w:style w:type="character" w:styleId="979" w:customStyle="1">
    <w:name w:val="页码1"/>
    <w:link w:val="869"/>
    <w:uiPriority w:val="99"/>
    <w:qFormat/>
  </w:style>
  <w:style w:type="paragraph" w:styleId="980" w:customStyle="1">
    <w:name w:val="正文文本1"/>
    <w:basedOn w:val="869"/>
    <w:uiPriority w:val="0"/>
    <w:qFormat/>
    <w:rPr>
      <w:rFonts w:ascii="宋体"/>
      <w:sz w:val="28"/>
    </w:rPr>
  </w:style>
  <w:style w:type="character" w:styleId="981" w:customStyle="1">
    <w:name w:val="Heading 3 Char"/>
    <w:link w:val="869"/>
    <w:uiPriority w:val="9"/>
    <w:qFormat/>
    <w:rPr>
      <w:rFonts w:ascii="Arial" w:hAnsi="Arial" w:eastAsia="Arial" w:cs="Arial"/>
      <w:sz w:val="30"/>
      <w:szCs w:val="30"/>
    </w:rPr>
  </w:style>
  <w:style w:type="paragraph" w:styleId="982" w:customStyle="1">
    <w:name w:val="无间隔"/>
    <w:uiPriority w:val="1"/>
    <w:qFormat/>
    <w:rPr>
      <w:rFonts w:hint="default" w:ascii="等线" w:hAnsi="等线" w:eastAsia="等线" w:cs="Times New Roman"/>
      <w:lang w:val="en-US" w:eastAsia="zh-CN" w:bidi="ar-SA"/>
    </w:rPr>
  </w:style>
  <w:style w:type="paragraph" w:styleId="983" w:customStyle="1">
    <w:name w:val="引用"/>
    <w:basedOn w:val="869"/>
    <w:next w:val="869"/>
    <w:link w:val="984"/>
    <w:uiPriority w:val="29"/>
    <w:qFormat/>
    <w:pPr>
      <w:ind w:left="720" w:right="720"/>
    </w:pPr>
    <w:rPr>
      <w:i/>
    </w:rPr>
  </w:style>
  <w:style w:type="character" w:styleId="984" w:customStyle="1">
    <w:name w:val="引用 字符"/>
    <w:link w:val="983"/>
    <w:uiPriority w:val="29"/>
    <w:qFormat/>
    <w:rPr>
      <w:i/>
    </w:rPr>
  </w:style>
  <w:style w:type="paragraph" w:styleId="985" w:customStyle="1">
    <w:name w:val="明显引用"/>
    <w:basedOn w:val="869"/>
    <w:next w:val="869"/>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字符"/>
    <w:link w:val="985"/>
    <w:uiPriority w:val="30"/>
    <w:qFormat/>
    <w:rPr>
      <w:i/>
    </w:rPr>
  </w:style>
  <w:style w:type="character" w:styleId="987" w:customStyle="1">
    <w:name w:val="Header Char"/>
    <w:link w:val="869"/>
    <w:uiPriority w:val="99"/>
    <w:qFormat/>
  </w:style>
  <w:style w:type="character" w:styleId="988" w:customStyle="1">
    <w:name w:val="Footer Char"/>
    <w:link w:val="869"/>
    <w:uiPriority w:val="99"/>
    <w:qFormat/>
  </w:style>
  <w:style w:type="character" w:styleId="989" w:customStyle="1">
    <w:name w:val="Caption Char"/>
    <w:link w:val="869"/>
    <w:uiPriority w:val="99"/>
    <w:qFormat/>
  </w:style>
  <w:style w:type="table" w:styleId="990" w:customStyle="1">
    <w:name w:val="Table Grid Light"/>
    <w:basedOn w:val="937"/>
    <w:uiPriority w:val="59"/>
    <w:qFormat/>
    <w:pPr>
      <w:spacing w:after="0" w:line="240" w:lineRule="auto"/>
    </w:pPr>
    <w:tblPr/>
  </w:style>
  <w:style w:type="table" w:styleId="991" w:customStyle="1">
    <w:name w:val="Plain Table 1"/>
    <w:basedOn w:val="937"/>
    <w:uiPriority w:val="59"/>
    <w:qFormat/>
    <w:pPr>
      <w:spacing w:after="0" w:line="240" w:lineRule="auto"/>
    </w:pPr>
    <w:tblPr/>
  </w:style>
  <w:style w:type="table" w:styleId="992" w:customStyle="1">
    <w:name w:val="Plain Table 2"/>
    <w:basedOn w:val="937"/>
    <w:uiPriority w:val="59"/>
    <w:qFormat/>
    <w:pPr>
      <w:spacing w:after="0" w:line="240" w:lineRule="auto"/>
    </w:pPr>
    <w:tblPr/>
  </w:style>
  <w:style w:type="table" w:styleId="993" w:customStyle="1">
    <w:name w:val="Plain Table 3"/>
    <w:basedOn w:val="937"/>
    <w:uiPriority w:val="99"/>
    <w:qFormat/>
    <w:pPr>
      <w:spacing w:after="0" w:line="240" w:lineRule="auto"/>
    </w:pPr>
    <w:tblPr/>
  </w:style>
  <w:style w:type="table" w:styleId="994" w:customStyle="1">
    <w:name w:val="Plain Table 4"/>
    <w:basedOn w:val="937"/>
    <w:uiPriority w:val="99"/>
    <w:qFormat/>
    <w:pPr>
      <w:spacing w:after="0" w:line="240" w:lineRule="auto"/>
    </w:pPr>
    <w:tblPr/>
  </w:style>
  <w:style w:type="table" w:styleId="995" w:customStyle="1">
    <w:name w:val="Plain Table 5"/>
    <w:basedOn w:val="937"/>
    <w:uiPriority w:val="99"/>
    <w:qFormat/>
    <w:pPr>
      <w:spacing w:after="0" w:line="240" w:lineRule="auto"/>
    </w:pPr>
    <w:tblPr/>
  </w:style>
  <w:style w:type="table" w:styleId="996" w:customStyle="1">
    <w:name w:val="Grid Table 1 Light"/>
    <w:basedOn w:val="937"/>
    <w:uiPriority w:val="99"/>
    <w:qFormat/>
    <w:pPr>
      <w:spacing w:after="0" w:line="240" w:lineRule="auto"/>
    </w:pPr>
    <w:tblPr/>
  </w:style>
  <w:style w:type="table" w:styleId="997" w:customStyle="1">
    <w:name w:val="Grid Table 1 Light - Accent 1"/>
    <w:basedOn w:val="937"/>
    <w:uiPriority w:val="99"/>
    <w:qFormat/>
    <w:pPr>
      <w:spacing w:after="0" w:line="240" w:lineRule="auto"/>
    </w:pPr>
    <w:tblPr/>
  </w:style>
  <w:style w:type="table" w:styleId="998" w:customStyle="1">
    <w:name w:val="Grid Table 1 Light - Accent 2"/>
    <w:basedOn w:val="937"/>
    <w:uiPriority w:val="99"/>
    <w:qFormat/>
    <w:pPr>
      <w:spacing w:after="0" w:line="240" w:lineRule="auto"/>
    </w:pPr>
    <w:tblPr/>
  </w:style>
  <w:style w:type="table" w:styleId="999" w:customStyle="1">
    <w:name w:val="Grid Table 1 Light - Accent 3"/>
    <w:basedOn w:val="937"/>
    <w:uiPriority w:val="99"/>
    <w:qFormat/>
    <w:pPr>
      <w:spacing w:after="0" w:line="240" w:lineRule="auto"/>
    </w:pPr>
    <w:tblPr/>
  </w:style>
  <w:style w:type="table" w:styleId="1000" w:customStyle="1">
    <w:name w:val="Grid Table 1 Light - Accent 4"/>
    <w:basedOn w:val="937"/>
    <w:uiPriority w:val="99"/>
    <w:qFormat/>
    <w:pPr>
      <w:spacing w:after="0" w:line="240" w:lineRule="auto"/>
    </w:pPr>
    <w:tblPr/>
  </w:style>
  <w:style w:type="table" w:styleId="1001" w:customStyle="1">
    <w:name w:val="Grid Table 1 Light - Accent 5"/>
    <w:basedOn w:val="937"/>
    <w:uiPriority w:val="99"/>
    <w:qFormat/>
    <w:pPr>
      <w:spacing w:after="0" w:line="240" w:lineRule="auto"/>
    </w:pPr>
    <w:tblPr/>
  </w:style>
  <w:style w:type="table" w:styleId="1002" w:customStyle="1">
    <w:name w:val="Grid Table 1 Light - Accent 6"/>
    <w:basedOn w:val="937"/>
    <w:uiPriority w:val="99"/>
    <w:qFormat/>
    <w:pPr>
      <w:spacing w:after="0" w:line="240" w:lineRule="auto"/>
    </w:pPr>
    <w:tblPr/>
  </w:style>
  <w:style w:type="table" w:styleId="1003" w:customStyle="1">
    <w:name w:val="Grid Table 2"/>
    <w:basedOn w:val="937"/>
    <w:uiPriority w:val="99"/>
    <w:qFormat/>
    <w:pPr>
      <w:spacing w:after="0" w:line="240" w:lineRule="auto"/>
    </w:pPr>
    <w:tblPr/>
  </w:style>
  <w:style w:type="table" w:styleId="1004" w:customStyle="1">
    <w:name w:val="Grid Table 2 - Accent 1"/>
    <w:basedOn w:val="937"/>
    <w:uiPriority w:val="99"/>
    <w:qFormat/>
    <w:pPr>
      <w:spacing w:after="0" w:line="240" w:lineRule="auto"/>
    </w:pPr>
    <w:tblPr/>
  </w:style>
  <w:style w:type="table" w:styleId="1005" w:customStyle="1">
    <w:name w:val="Grid Table 2 - Accent 2"/>
    <w:basedOn w:val="937"/>
    <w:uiPriority w:val="99"/>
    <w:qFormat/>
    <w:pPr>
      <w:spacing w:after="0" w:line="240" w:lineRule="auto"/>
    </w:pPr>
    <w:tblPr/>
  </w:style>
  <w:style w:type="table" w:styleId="1006" w:customStyle="1">
    <w:name w:val="Grid Table 2 - Accent 3"/>
    <w:basedOn w:val="937"/>
    <w:uiPriority w:val="99"/>
    <w:qFormat/>
    <w:pPr>
      <w:spacing w:after="0" w:line="240" w:lineRule="auto"/>
    </w:pPr>
    <w:tblPr/>
  </w:style>
  <w:style w:type="table" w:styleId="1007" w:customStyle="1">
    <w:name w:val="Grid Table 2 - Accent 4"/>
    <w:basedOn w:val="937"/>
    <w:uiPriority w:val="99"/>
    <w:qFormat/>
    <w:pPr>
      <w:spacing w:after="0" w:line="240" w:lineRule="auto"/>
    </w:pPr>
    <w:tblPr/>
  </w:style>
  <w:style w:type="table" w:styleId="1008" w:customStyle="1">
    <w:name w:val="Grid Table 2 - Accent 5"/>
    <w:basedOn w:val="937"/>
    <w:uiPriority w:val="99"/>
    <w:qFormat/>
    <w:pPr>
      <w:spacing w:after="0" w:line="240" w:lineRule="auto"/>
    </w:pPr>
    <w:tblPr/>
  </w:style>
  <w:style w:type="table" w:styleId="1009" w:customStyle="1">
    <w:name w:val="Grid Table 2 - Accent 6"/>
    <w:basedOn w:val="937"/>
    <w:uiPriority w:val="99"/>
    <w:qFormat/>
    <w:pPr>
      <w:spacing w:after="0" w:line="240" w:lineRule="auto"/>
    </w:pPr>
    <w:tblPr/>
  </w:style>
  <w:style w:type="table" w:styleId="1010" w:customStyle="1">
    <w:name w:val="Grid Table 3"/>
    <w:basedOn w:val="937"/>
    <w:uiPriority w:val="99"/>
    <w:qFormat/>
    <w:pPr>
      <w:spacing w:after="0" w:line="240" w:lineRule="auto"/>
    </w:pPr>
    <w:tblPr/>
  </w:style>
  <w:style w:type="table" w:styleId="1011" w:customStyle="1">
    <w:name w:val="Grid Table 3 - Accent 1"/>
    <w:basedOn w:val="937"/>
    <w:uiPriority w:val="99"/>
    <w:qFormat/>
    <w:pPr>
      <w:spacing w:after="0" w:line="240" w:lineRule="auto"/>
    </w:pPr>
    <w:tblPr/>
  </w:style>
  <w:style w:type="table" w:styleId="1012" w:customStyle="1">
    <w:name w:val="Grid Table 3 - Accent 2"/>
    <w:basedOn w:val="937"/>
    <w:uiPriority w:val="99"/>
    <w:qFormat/>
    <w:pPr>
      <w:spacing w:after="0" w:line="240" w:lineRule="auto"/>
    </w:pPr>
    <w:tblPr/>
  </w:style>
  <w:style w:type="table" w:styleId="1013" w:customStyle="1">
    <w:name w:val="Grid Table 3 - Accent 3"/>
    <w:basedOn w:val="937"/>
    <w:uiPriority w:val="99"/>
    <w:qFormat/>
    <w:pPr>
      <w:spacing w:after="0" w:line="240" w:lineRule="auto"/>
    </w:pPr>
    <w:tblPr/>
  </w:style>
  <w:style w:type="table" w:styleId="1014" w:customStyle="1">
    <w:name w:val="Grid Table 3 - Accent 4"/>
    <w:basedOn w:val="937"/>
    <w:uiPriority w:val="99"/>
    <w:qFormat/>
    <w:pPr>
      <w:spacing w:after="0" w:line="240" w:lineRule="auto"/>
    </w:pPr>
    <w:tblPr/>
  </w:style>
  <w:style w:type="table" w:styleId="1015" w:customStyle="1">
    <w:name w:val="Grid Table 3 - Accent 5"/>
    <w:basedOn w:val="937"/>
    <w:uiPriority w:val="99"/>
    <w:qFormat/>
    <w:pPr>
      <w:spacing w:after="0" w:line="240" w:lineRule="auto"/>
    </w:pPr>
    <w:tblPr/>
  </w:style>
  <w:style w:type="table" w:styleId="1016" w:customStyle="1">
    <w:name w:val="Grid Table 3 - Accent 6"/>
    <w:basedOn w:val="937"/>
    <w:uiPriority w:val="99"/>
    <w:qFormat/>
    <w:pPr>
      <w:spacing w:after="0" w:line="240" w:lineRule="auto"/>
    </w:pPr>
    <w:tblPr/>
  </w:style>
  <w:style w:type="table" w:styleId="1017" w:customStyle="1">
    <w:name w:val="Grid Table 4"/>
    <w:basedOn w:val="937"/>
    <w:uiPriority w:val="59"/>
    <w:qFormat/>
    <w:pPr>
      <w:spacing w:after="0" w:line="240" w:lineRule="auto"/>
    </w:pPr>
    <w:tblPr/>
  </w:style>
  <w:style w:type="table" w:styleId="1018" w:customStyle="1">
    <w:name w:val="Grid Table 4 - Accent 1"/>
    <w:basedOn w:val="937"/>
    <w:uiPriority w:val="59"/>
    <w:qFormat/>
    <w:pPr>
      <w:spacing w:after="0" w:line="240" w:lineRule="auto"/>
    </w:pPr>
    <w:tblPr/>
  </w:style>
  <w:style w:type="table" w:styleId="1019" w:customStyle="1">
    <w:name w:val="Grid Table 4 - Accent 2"/>
    <w:basedOn w:val="937"/>
    <w:uiPriority w:val="59"/>
    <w:qFormat/>
    <w:pPr>
      <w:spacing w:after="0" w:line="240" w:lineRule="auto"/>
    </w:pPr>
    <w:tblPr/>
  </w:style>
  <w:style w:type="table" w:styleId="1020" w:customStyle="1">
    <w:name w:val="Grid Table 4 - Accent 3"/>
    <w:basedOn w:val="937"/>
    <w:uiPriority w:val="59"/>
    <w:qFormat/>
    <w:pPr>
      <w:spacing w:after="0" w:line="240" w:lineRule="auto"/>
    </w:pPr>
    <w:tblPr/>
  </w:style>
  <w:style w:type="table" w:styleId="1021" w:customStyle="1">
    <w:name w:val="Grid Table 4 - Accent 4"/>
    <w:basedOn w:val="937"/>
    <w:uiPriority w:val="59"/>
    <w:qFormat/>
    <w:pPr>
      <w:spacing w:after="0" w:line="240" w:lineRule="auto"/>
    </w:pPr>
    <w:tblPr/>
  </w:style>
  <w:style w:type="table" w:styleId="1022" w:customStyle="1">
    <w:name w:val="Grid Table 4 - Accent 5"/>
    <w:basedOn w:val="937"/>
    <w:uiPriority w:val="59"/>
    <w:qFormat/>
    <w:pPr>
      <w:spacing w:after="0" w:line="240" w:lineRule="auto"/>
    </w:pPr>
    <w:tblPr/>
  </w:style>
  <w:style w:type="table" w:styleId="1023" w:customStyle="1">
    <w:name w:val="Grid Table 4 - Accent 6"/>
    <w:basedOn w:val="937"/>
    <w:uiPriority w:val="59"/>
    <w:qFormat/>
    <w:pPr>
      <w:spacing w:after="0" w:line="240" w:lineRule="auto"/>
    </w:pPr>
    <w:tblPr/>
  </w:style>
  <w:style w:type="table" w:styleId="1024" w:customStyle="1">
    <w:name w:val="Grid Table 5 Dark"/>
    <w:basedOn w:val="937"/>
    <w:uiPriority w:val="99"/>
    <w:qFormat/>
    <w:pPr>
      <w:spacing w:after="0" w:line="240" w:lineRule="auto"/>
    </w:pPr>
    <w:tblPr/>
  </w:style>
  <w:style w:type="table" w:styleId="1025" w:customStyle="1">
    <w:name w:val="Grid Table 5 Dark- Accent 1"/>
    <w:basedOn w:val="937"/>
    <w:uiPriority w:val="99"/>
    <w:qFormat/>
    <w:pPr>
      <w:spacing w:after="0" w:line="240" w:lineRule="auto"/>
    </w:pPr>
    <w:tblPr/>
  </w:style>
  <w:style w:type="table" w:styleId="1026" w:customStyle="1">
    <w:name w:val="Grid Table 5 Dark - Accent 2"/>
    <w:basedOn w:val="937"/>
    <w:uiPriority w:val="99"/>
    <w:qFormat/>
    <w:pPr>
      <w:spacing w:after="0" w:line="240" w:lineRule="auto"/>
    </w:pPr>
    <w:tblPr/>
  </w:style>
  <w:style w:type="table" w:styleId="1027" w:customStyle="1">
    <w:name w:val="Grid Table 5 Dark - Accent 3"/>
    <w:basedOn w:val="937"/>
    <w:uiPriority w:val="99"/>
    <w:qFormat/>
    <w:pPr>
      <w:spacing w:after="0" w:line="240" w:lineRule="auto"/>
    </w:pPr>
    <w:tblPr/>
  </w:style>
  <w:style w:type="table" w:styleId="1028" w:customStyle="1">
    <w:name w:val="Grid Table 5 Dark- Accent 4"/>
    <w:basedOn w:val="937"/>
    <w:uiPriority w:val="99"/>
    <w:qFormat/>
    <w:pPr>
      <w:spacing w:after="0" w:line="240" w:lineRule="auto"/>
    </w:pPr>
    <w:tblPr/>
  </w:style>
  <w:style w:type="table" w:styleId="1029" w:customStyle="1">
    <w:name w:val="Grid Table 5 Dark - Accent 5"/>
    <w:basedOn w:val="937"/>
    <w:uiPriority w:val="99"/>
    <w:qFormat/>
    <w:pPr>
      <w:spacing w:after="0" w:line="240" w:lineRule="auto"/>
    </w:pPr>
    <w:tblPr/>
  </w:style>
  <w:style w:type="table" w:styleId="1030" w:customStyle="1">
    <w:name w:val="Grid Table 5 Dark - Accent 6"/>
    <w:basedOn w:val="937"/>
    <w:uiPriority w:val="99"/>
    <w:qFormat/>
    <w:pPr>
      <w:spacing w:after="0" w:line="240" w:lineRule="auto"/>
    </w:pPr>
    <w:tblPr/>
  </w:style>
  <w:style w:type="table" w:styleId="1031" w:customStyle="1">
    <w:name w:val="Grid Table 6 Colorful"/>
    <w:basedOn w:val="937"/>
    <w:uiPriority w:val="99"/>
    <w:qFormat/>
    <w:pPr>
      <w:spacing w:after="0" w:line="240" w:lineRule="auto"/>
    </w:pPr>
    <w:tblPr/>
  </w:style>
  <w:style w:type="table" w:styleId="1032" w:customStyle="1">
    <w:name w:val="Grid Table 6 Colorful - Accent 1"/>
    <w:basedOn w:val="937"/>
    <w:uiPriority w:val="99"/>
    <w:qFormat/>
    <w:pPr>
      <w:spacing w:after="0" w:line="240" w:lineRule="auto"/>
    </w:pPr>
    <w:tblPr/>
  </w:style>
  <w:style w:type="table" w:styleId="1033" w:customStyle="1">
    <w:name w:val="Grid Table 6 Colorful - Accent 2"/>
    <w:basedOn w:val="937"/>
    <w:uiPriority w:val="99"/>
    <w:qFormat/>
    <w:pPr>
      <w:spacing w:after="0" w:line="240" w:lineRule="auto"/>
    </w:pPr>
    <w:tblPr/>
  </w:style>
  <w:style w:type="table" w:styleId="1034" w:customStyle="1">
    <w:name w:val="Grid Table 6 Colorful - Accent 3"/>
    <w:basedOn w:val="937"/>
    <w:uiPriority w:val="99"/>
    <w:qFormat/>
    <w:pPr>
      <w:spacing w:after="0" w:line="240" w:lineRule="auto"/>
    </w:pPr>
    <w:tblPr/>
  </w:style>
  <w:style w:type="table" w:styleId="1035" w:customStyle="1">
    <w:name w:val="Grid Table 6 Colorful - Accent 4"/>
    <w:basedOn w:val="937"/>
    <w:uiPriority w:val="99"/>
    <w:qFormat/>
    <w:pPr>
      <w:spacing w:after="0" w:line="240" w:lineRule="auto"/>
    </w:pPr>
    <w:tblPr/>
  </w:style>
  <w:style w:type="table" w:styleId="1036" w:customStyle="1">
    <w:name w:val="Grid Table 6 Colorful - Accent 5"/>
    <w:basedOn w:val="937"/>
    <w:uiPriority w:val="99"/>
    <w:qFormat/>
    <w:pPr>
      <w:spacing w:after="0" w:line="240" w:lineRule="auto"/>
    </w:pPr>
    <w:tblPr/>
  </w:style>
  <w:style w:type="table" w:styleId="1037" w:customStyle="1">
    <w:name w:val="Grid Table 6 Colorful - Accent 6"/>
    <w:basedOn w:val="937"/>
    <w:uiPriority w:val="99"/>
    <w:qFormat/>
    <w:pPr>
      <w:spacing w:after="0" w:line="240" w:lineRule="auto"/>
    </w:pPr>
    <w:tblPr/>
  </w:style>
  <w:style w:type="table" w:styleId="1038" w:customStyle="1">
    <w:name w:val="Grid Table 7 Colorful"/>
    <w:basedOn w:val="937"/>
    <w:uiPriority w:val="99"/>
    <w:qFormat/>
    <w:pPr>
      <w:spacing w:after="0" w:line="240" w:lineRule="auto"/>
    </w:pPr>
    <w:tblPr/>
  </w:style>
  <w:style w:type="table" w:styleId="1039" w:customStyle="1">
    <w:name w:val="Grid Table 7 Colorful - Accent 1"/>
    <w:basedOn w:val="937"/>
    <w:uiPriority w:val="99"/>
    <w:qFormat/>
    <w:pPr>
      <w:spacing w:after="0" w:line="240" w:lineRule="auto"/>
    </w:pPr>
    <w:tblPr/>
  </w:style>
  <w:style w:type="table" w:styleId="1040" w:customStyle="1">
    <w:name w:val="Grid Table 7 Colorful - Accent 2"/>
    <w:basedOn w:val="937"/>
    <w:uiPriority w:val="99"/>
    <w:qFormat/>
    <w:pPr>
      <w:spacing w:after="0" w:line="240" w:lineRule="auto"/>
    </w:pPr>
    <w:tblPr/>
  </w:style>
  <w:style w:type="table" w:styleId="1041" w:customStyle="1">
    <w:name w:val="Grid Table 7 Colorful - Accent 3"/>
    <w:basedOn w:val="937"/>
    <w:uiPriority w:val="99"/>
    <w:qFormat/>
    <w:pPr>
      <w:spacing w:after="0" w:line="240" w:lineRule="auto"/>
    </w:pPr>
    <w:tblPr/>
  </w:style>
  <w:style w:type="table" w:styleId="1042" w:customStyle="1">
    <w:name w:val="Grid Table 7 Colorful - Accent 4"/>
    <w:basedOn w:val="937"/>
    <w:uiPriority w:val="99"/>
    <w:qFormat/>
    <w:pPr>
      <w:spacing w:after="0" w:line="240" w:lineRule="auto"/>
    </w:pPr>
    <w:tblPr/>
  </w:style>
  <w:style w:type="table" w:styleId="1043" w:customStyle="1">
    <w:name w:val="Grid Table 7 Colorful - Accent 5"/>
    <w:basedOn w:val="937"/>
    <w:uiPriority w:val="99"/>
    <w:qFormat/>
    <w:pPr>
      <w:spacing w:after="0" w:line="240" w:lineRule="auto"/>
    </w:pPr>
    <w:tblPr/>
  </w:style>
  <w:style w:type="table" w:styleId="1044" w:customStyle="1">
    <w:name w:val="Grid Table 7 Colorful - Accent 6"/>
    <w:basedOn w:val="937"/>
    <w:uiPriority w:val="99"/>
    <w:qFormat/>
    <w:pPr>
      <w:spacing w:after="0" w:line="240" w:lineRule="auto"/>
    </w:pPr>
    <w:tblPr/>
  </w:style>
  <w:style w:type="table" w:styleId="1045" w:customStyle="1">
    <w:name w:val="List Table 1 Light"/>
    <w:basedOn w:val="937"/>
    <w:uiPriority w:val="99"/>
    <w:qFormat/>
    <w:pPr>
      <w:spacing w:after="0" w:line="240" w:lineRule="auto"/>
    </w:pPr>
    <w:tblPr/>
  </w:style>
  <w:style w:type="table" w:styleId="1046" w:customStyle="1">
    <w:name w:val="List Table 1 Light - Accent 1"/>
    <w:basedOn w:val="937"/>
    <w:uiPriority w:val="99"/>
    <w:qFormat/>
    <w:pPr>
      <w:spacing w:after="0" w:line="240" w:lineRule="auto"/>
    </w:pPr>
    <w:tblPr/>
  </w:style>
  <w:style w:type="table" w:styleId="1047" w:customStyle="1">
    <w:name w:val="List Table 1 Light - Accent 2"/>
    <w:basedOn w:val="937"/>
    <w:uiPriority w:val="99"/>
    <w:qFormat/>
    <w:pPr>
      <w:spacing w:after="0" w:line="240" w:lineRule="auto"/>
    </w:pPr>
    <w:tblPr/>
  </w:style>
  <w:style w:type="table" w:styleId="1048" w:customStyle="1">
    <w:name w:val="List Table 1 Light - Accent 3"/>
    <w:basedOn w:val="937"/>
    <w:uiPriority w:val="99"/>
    <w:qFormat/>
    <w:pPr>
      <w:spacing w:after="0" w:line="240" w:lineRule="auto"/>
    </w:pPr>
    <w:tblPr/>
  </w:style>
  <w:style w:type="table" w:styleId="1049" w:customStyle="1">
    <w:name w:val="List Table 1 Light - Accent 4"/>
    <w:basedOn w:val="937"/>
    <w:uiPriority w:val="99"/>
    <w:qFormat/>
    <w:pPr>
      <w:spacing w:after="0" w:line="240" w:lineRule="auto"/>
    </w:pPr>
    <w:tblPr/>
  </w:style>
  <w:style w:type="table" w:styleId="1050" w:customStyle="1">
    <w:name w:val="List Table 1 Light - Accent 5"/>
    <w:basedOn w:val="937"/>
    <w:uiPriority w:val="99"/>
    <w:qFormat/>
    <w:pPr>
      <w:spacing w:after="0" w:line="240" w:lineRule="auto"/>
    </w:pPr>
    <w:tblPr/>
  </w:style>
  <w:style w:type="table" w:styleId="1051" w:customStyle="1">
    <w:name w:val="List Table 1 Light - Accent 6"/>
    <w:basedOn w:val="937"/>
    <w:uiPriority w:val="99"/>
    <w:qFormat/>
    <w:pPr>
      <w:spacing w:after="0" w:line="240" w:lineRule="auto"/>
    </w:pPr>
    <w:tblPr/>
  </w:style>
  <w:style w:type="table" w:styleId="1052" w:customStyle="1">
    <w:name w:val="List Table 2"/>
    <w:basedOn w:val="937"/>
    <w:uiPriority w:val="99"/>
    <w:qFormat/>
    <w:pPr>
      <w:spacing w:after="0" w:line="240" w:lineRule="auto"/>
    </w:pPr>
    <w:tblPr/>
  </w:style>
  <w:style w:type="table" w:styleId="1053" w:customStyle="1">
    <w:name w:val="List Table 2 - Accent 1"/>
    <w:basedOn w:val="937"/>
    <w:uiPriority w:val="99"/>
    <w:qFormat/>
    <w:pPr>
      <w:spacing w:after="0" w:line="240" w:lineRule="auto"/>
    </w:pPr>
    <w:tblPr/>
  </w:style>
  <w:style w:type="table" w:styleId="1054" w:customStyle="1">
    <w:name w:val="List Table 2 - Accent 2"/>
    <w:basedOn w:val="937"/>
    <w:uiPriority w:val="99"/>
    <w:qFormat/>
    <w:pPr>
      <w:spacing w:after="0" w:line="240" w:lineRule="auto"/>
    </w:pPr>
    <w:tblPr/>
  </w:style>
  <w:style w:type="table" w:styleId="1055" w:customStyle="1">
    <w:name w:val="List Table 2 - Accent 3"/>
    <w:basedOn w:val="937"/>
    <w:uiPriority w:val="99"/>
    <w:qFormat/>
    <w:pPr>
      <w:spacing w:after="0" w:line="240" w:lineRule="auto"/>
    </w:pPr>
    <w:tblPr/>
  </w:style>
  <w:style w:type="table" w:styleId="1056" w:customStyle="1">
    <w:name w:val="List Table 2 - Accent 4"/>
    <w:basedOn w:val="937"/>
    <w:uiPriority w:val="99"/>
    <w:qFormat/>
    <w:pPr>
      <w:spacing w:after="0" w:line="240" w:lineRule="auto"/>
    </w:pPr>
    <w:tblPr/>
  </w:style>
  <w:style w:type="table" w:styleId="1057" w:customStyle="1">
    <w:name w:val="List Table 2 - Accent 5"/>
    <w:basedOn w:val="937"/>
    <w:uiPriority w:val="99"/>
    <w:qFormat/>
    <w:pPr>
      <w:spacing w:after="0" w:line="240" w:lineRule="auto"/>
    </w:pPr>
    <w:tblPr/>
  </w:style>
  <w:style w:type="table" w:styleId="1058" w:customStyle="1">
    <w:name w:val="List Table 2 - Accent 6"/>
    <w:basedOn w:val="937"/>
    <w:uiPriority w:val="99"/>
    <w:qFormat/>
    <w:pPr>
      <w:spacing w:after="0" w:line="240" w:lineRule="auto"/>
    </w:pPr>
    <w:tblPr/>
  </w:style>
  <w:style w:type="table" w:styleId="1059" w:customStyle="1">
    <w:name w:val="List Table 3"/>
    <w:basedOn w:val="937"/>
    <w:uiPriority w:val="99"/>
    <w:qFormat/>
    <w:pPr>
      <w:spacing w:after="0" w:line="240" w:lineRule="auto"/>
    </w:pPr>
    <w:tblPr/>
  </w:style>
  <w:style w:type="table" w:styleId="1060" w:customStyle="1">
    <w:name w:val="List Table 3 - Accent 1"/>
    <w:basedOn w:val="937"/>
    <w:uiPriority w:val="99"/>
    <w:qFormat/>
    <w:pPr>
      <w:spacing w:after="0" w:line="240" w:lineRule="auto"/>
    </w:pPr>
    <w:tblPr/>
  </w:style>
  <w:style w:type="table" w:styleId="1061" w:customStyle="1">
    <w:name w:val="List Table 3 - Accent 2"/>
    <w:basedOn w:val="937"/>
    <w:uiPriority w:val="99"/>
    <w:qFormat/>
    <w:pPr>
      <w:spacing w:after="0" w:line="240" w:lineRule="auto"/>
    </w:pPr>
    <w:tblPr/>
  </w:style>
  <w:style w:type="table" w:styleId="1062" w:customStyle="1">
    <w:name w:val="List Table 3 - Accent 3"/>
    <w:basedOn w:val="937"/>
    <w:uiPriority w:val="99"/>
    <w:qFormat/>
    <w:pPr>
      <w:spacing w:after="0" w:line="240" w:lineRule="auto"/>
    </w:pPr>
    <w:tblPr/>
  </w:style>
  <w:style w:type="table" w:styleId="1063" w:customStyle="1">
    <w:name w:val="List Table 3 - Accent 4"/>
    <w:basedOn w:val="937"/>
    <w:uiPriority w:val="99"/>
    <w:qFormat/>
    <w:pPr>
      <w:spacing w:after="0" w:line="240" w:lineRule="auto"/>
    </w:pPr>
    <w:tblPr/>
  </w:style>
  <w:style w:type="table" w:styleId="1064" w:customStyle="1">
    <w:name w:val="List Table 3 - Accent 5"/>
    <w:basedOn w:val="937"/>
    <w:uiPriority w:val="99"/>
    <w:qFormat/>
    <w:pPr>
      <w:spacing w:after="0" w:line="240" w:lineRule="auto"/>
    </w:pPr>
    <w:tblPr/>
  </w:style>
  <w:style w:type="table" w:styleId="1065" w:customStyle="1">
    <w:name w:val="List Table 3 - Accent 6"/>
    <w:basedOn w:val="937"/>
    <w:uiPriority w:val="99"/>
    <w:qFormat/>
    <w:pPr>
      <w:spacing w:after="0" w:line="240" w:lineRule="auto"/>
    </w:pPr>
    <w:tblPr/>
  </w:style>
  <w:style w:type="table" w:styleId="1066" w:customStyle="1">
    <w:name w:val="List Table 4"/>
    <w:basedOn w:val="937"/>
    <w:uiPriority w:val="99"/>
    <w:qFormat/>
    <w:pPr>
      <w:spacing w:after="0" w:line="240" w:lineRule="auto"/>
    </w:pPr>
    <w:tblPr/>
  </w:style>
  <w:style w:type="table" w:styleId="1067" w:customStyle="1">
    <w:name w:val="List Table 4 - Accent 1"/>
    <w:basedOn w:val="937"/>
    <w:uiPriority w:val="99"/>
    <w:qFormat/>
    <w:pPr>
      <w:spacing w:after="0" w:line="240" w:lineRule="auto"/>
    </w:pPr>
    <w:tblPr/>
  </w:style>
  <w:style w:type="table" w:styleId="1068" w:customStyle="1">
    <w:name w:val="List Table 4 - Accent 2"/>
    <w:basedOn w:val="937"/>
    <w:uiPriority w:val="99"/>
    <w:qFormat/>
    <w:pPr>
      <w:spacing w:after="0" w:line="240" w:lineRule="auto"/>
    </w:pPr>
    <w:tblPr/>
  </w:style>
  <w:style w:type="table" w:styleId="1069" w:customStyle="1">
    <w:name w:val="List Table 4 - Accent 3"/>
    <w:basedOn w:val="937"/>
    <w:uiPriority w:val="99"/>
    <w:qFormat/>
    <w:pPr>
      <w:spacing w:after="0" w:line="240" w:lineRule="auto"/>
    </w:pPr>
    <w:tblPr/>
  </w:style>
  <w:style w:type="table" w:styleId="1070" w:customStyle="1">
    <w:name w:val="List Table 4 - Accent 4"/>
    <w:basedOn w:val="937"/>
    <w:uiPriority w:val="99"/>
    <w:qFormat/>
    <w:pPr>
      <w:spacing w:after="0" w:line="240" w:lineRule="auto"/>
    </w:pPr>
    <w:tblPr/>
  </w:style>
  <w:style w:type="table" w:styleId="1071" w:customStyle="1">
    <w:name w:val="List Table 4 - Accent 5"/>
    <w:basedOn w:val="937"/>
    <w:uiPriority w:val="99"/>
    <w:qFormat/>
    <w:pPr>
      <w:spacing w:after="0" w:line="240" w:lineRule="auto"/>
    </w:pPr>
    <w:tblPr/>
  </w:style>
  <w:style w:type="table" w:styleId="1072" w:customStyle="1">
    <w:name w:val="List Table 4 - Accent 6"/>
    <w:basedOn w:val="937"/>
    <w:uiPriority w:val="99"/>
    <w:qFormat/>
    <w:pPr>
      <w:spacing w:after="0" w:line="240" w:lineRule="auto"/>
    </w:pPr>
    <w:tblPr/>
  </w:style>
  <w:style w:type="table" w:styleId="1073" w:customStyle="1">
    <w:name w:val="List Table 5 Dark"/>
    <w:basedOn w:val="937"/>
    <w:uiPriority w:val="99"/>
    <w:qFormat/>
    <w:pPr>
      <w:spacing w:after="0" w:line="240" w:lineRule="auto"/>
    </w:pPr>
    <w:tblPr/>
  </w:style>
  <w:style w:type="table" w:styleId="1074" w:customStyle="1">
    <w:name w:val="List Table 5 Dark - Accent 1"/>
    <w:basedOn w:val="937"/>
    <w:uiPriority w:val="99"/>
    <w:qFormat/>
    <w:pPr>
      <w:spacing w:after="0" w:line="240" w:lineRule="auto"/>
    </w:pPr>
    <w:tblPr/>
  </w:style>
  <w:style w:type="table" w:styleId="1075" w:customStyle="1">
    <w:name w:val="List Table 5 Dark - Accent 2"/>
    <w:basedOn w:val="937"/>
    <w:uiPriority w:val="99"/>
    <w:qFormat/>
    <w:pPr>
      <w:spacing w:after="0" w:line="240" w:lineRule="auto"/>
    </w:pPr>
    <w:tblPr/>
  </w:style>
  <w:style w:type="table" w:styleId="1076" w:customStyle="1">
    <w:name w:val="List Table 5 Dark - Accent 3"/>
    <w:basedOn w:val="937"/>
    <w:uiPriority w:val="99"/>
    <w:qFormat/>
    <w:pPr>
      <w:spacing w:after="0" w:line="240" w:lineRule="auto"/>
    </w:pPr>
    <w:tblPr/>
  </w:style>
  <w:style w:type="table" w:styleId="1077" w:customStyle="1">
    <w:name w:val="List Table 5 Dark - Accent 4"/>
    <w:basedOn w:val="937"/>
    <w:uiPriority w:val="99"/>
    <w:qFormat/>
    <w:pPr>
      <w:spacing w:after="0" w:line="240" w:lineRule="auto"/>
    </w:pPr>
    <w:tblPr/>
  </w:style>
  <w:style w:type="table" w:styleId="1078" w:customStyle="1">
    <w:name w:val="List Table 5 Dark - Accent 5"/>
    <w:basedOn w:val="937"/>
    <w:uiPriority w:val="99"/>
    <w:qFormat/>
    <w:pPr>
      <w:spacing w:after="0" w:line="240" w:lineRule="auto"/>
    </w:pPr>
    <w:tblPr/>
  </w:style>
  <w:style w:type="table" w:styleId="1079" w:customStyle="1">
    <w:name w:val="List Table 5 Dark - Accent 6"/>
    <w:basedOn w:val="937"/>
    <w:uiPriority w:val="99"/>
    <w:qFormat/>
    <w:pPr>
      <w:spacing w:after="0" w:line="240" w:lineRule="auto"/>
    </w:pPr>
    <w:tblPr/>
  </w:style>
  <w:style w:type="table" w:styleId="1080" w:customStyle="1">
    <w:name w:val="List Table 6 Colorful"/>
    <w:basedOn w:val="937"/>
    <w:uiPriority w:val="99"/>
    <w:qFormat/>
    <w:pPr>
      <w:spacing w:after="0" w:line="240" w:lineRule="auto"/>
    </w:pPr>
    <w:tblPr/>
  </w:style>
  <w:style w:type="table" w:styleId="1081" w:customStyle="1">
    <w:name w:val="List Table 6 Colorful - Accent 1"/>
    <w:basedOn w:val="937"/>
    <w:uiPriority w:val="99"/>
    <w:qFormat/>
    <w:pPr>
      <w:spacing w:after="0" w:line="240" w:lineRule="auto"/>
    </w:pPr>
    <w:tblPr/>
  </w:style>
  <w:style w:type="table" w:styleId="1082" w:customStyle="1">
    <w:name w:val="List Table 6 Colorful - Accent 2"/>
    <w:basedOn w:val="937"/>
    <w:uiPriority w:val="99"/>
    <w:qFormat/>
    <w:pPr>
      <w:spacing w:after="0" w:line="240" w:lineRule="auto"/>
    </w:pPr>
    <w:tblPr/>
  </w:style>
  <w:style w:type="table" w:styleId="1083" w:customStyle="1">
    <w:name w:val="List Table 6 Colorful - Accent 3"/>
    <w:basedOn w:val="937"/>
    <w:uiPriority w:val="99"/>
    <w:qFormat/>
    <w:pPr>
      <w:spacing w:after="0" w:line="240" w:lineRule="auto"/>
    </w:pPr>
    <w:tblPr/>
  </w:style>
  <w:style w:type="table" w:styleId="1084" w:customStyle="1">
    <w:name w:val="List Table 6 Colorful - Accent 4"/>
    <w:basedOn w:val="937"/>
    <w:uiPriority w:val="99"/>
    <w:qFormat/>
    <w:pPr>
      <w:spacing w:after="0" w:line="240" w:lineRule="auto"/>
    </w:pPr>
    <w:tblPr/>
  </w:style>
  <w:style w:type="table" w:styleId="1085" w:customStyle="1">
    <w:name w:val="List Table 6 Colorful - Accent 5"/>
    <w:basedOn w:val="937"/>
    <w:uiPriority w:val="99"/>
    <w:qFormat/>
    <w:pPr>
      <w:spacing w:after="0" w:line="240" w:lineRule="auto"/>
    </w:pPr>
    <w:tblPr/>
  </w:style>
  <w:style w:type="table" w:styleId="1086" w:customStyle="1">
    <w:name w:val="List Table 6 Colorful - Accent 6"/>
    <w:basedOn w:val="937"/>
    <w:uiPriority w:val="99"/>
    <w:qFormat/>
    <w:pPr>
      <w:spacing w:after="0" w:line="240" w:lineRule="auto"/>
    </w:pPr>
    <w:tblPr/>
  </w:style>
  <w:style w:type="table" w:styleId="1087" w:customStyle="1">
    <w:name w:val="List Table 7 Colorful"/>
    <w:basedOn w:val="937"/>
    <w:uiPriority w:val="99"/>
    <w:qFormat/>
    <w:pPr>
      <w:spacing w:after="0" w:line="240" w:lineRule="auto"/>
    </w:pPr>
    <w:tblPr/>
  </w:style>
  <w:style w:type="table" w:styleId="1088" w:customStyle="1">
    <w:name w:val="List Table 7 Colorful - Accent 1"/>
    <w:basedOn w:val="937"/>
    <w:uiPriority w:val="99"/>
    <w:qFormat/>
    <w:pPr>
      <w:spacing w:after="0" w:line="240" w:lineRule="auto"/>
    </w:pPr>
    <w:tblPr/>
  </w:style>
  <w:style w:type="table" w:styleId="1089" w:customStyle="1">
    <w:name w:val="List Table 7 Colorful - Accent 2"/>
    <w:basedOn w:val="937"/>
    <w:uiPriority w:val="99"/>
    <w:qFormat/>
    <w:pPr>
      <w:spacing w:after="0" w:line="240" w:lineRule="auto"/>
    </w:pPr>
    <w:tblPr/>
  </w:style>
  <w:style w:type="table" w:styleId="1090" w:customStyle="1">
    <w:name w:val="List Table 7 Colorful - Accent 3"/>
    <w:basedOn w:val="937"/>
    <w:uiPriority w:val="99"/>
    <w:qFormat/>
    <w:pPr>
      <w:spacing w:after="0" w:line="240" w:lineRule="auto"/>
    </w:pPr>
    <w:tblPr/>
  </w:style>
  <w:style w:type="table" w:styleId="1091" w:customStyle="1">
    <w:name w:val="List Table 7 Colorful - Accent 4"/>
    <w:basedOn w:val="937"/>
    <w:uiPriority w:val="99"/>
    <w:qFormat/>
    <w:pPr>
      <w:spacing w:after="0" w:line="240" w:lineRule="auto"/>
    </w:pPr>
    <w:tblPr/>
  </w:style>
  <w:style w:type="table" w:styleId="1092" w:customStyle="1">
    <w:name w:val="List Table 7 Colorful - Accent 5"/>
    <w:basedOn w:val="937"/>
    <w:uiPriority w:val="99"/>
    <w:qFormat/>
    <w:pPr>
      <w:spacing w:after="0" w:line="240" w:lineRule="auto"/>
    </w:pPr>
    <w:tblPr/>
  </w:style>
  <w:style w:type="table" w:styleId="1093" w:customStyle="1">
    <w:name w:val="List Table 7 Colorful - Accent 6"/>
    <w:basedOn w:val="937"/>
    <w:uiPriority w:val="99"/>
    <w:qFormat/>
    <w:pPr>
      <w:spacing w:after="0" w:line="240" w:lineRule="auto"/>
    </w:pPr>
    <w:tblPr/>
  </w:style>
  <w:style w:type="table" w:styleId="1094" w:customStyle="1">
    <w:name w:val="Lined - Accent"/>
    <w:basedOn w:val="937"/>
    <w:uiPriority w:val="99"/>
    <w:qFormat/>
    <w:pPr>
      <w:spacing w:after="0" w:line="240" w:lineRule="auto"/>
    </w:pPr>
    <w:rPr>
      <w:color w:val="404040"/>
    </w:rPr>
    <w:tblPr/>
  </w:style>
  <w:style w:type="table" w:styleId="1095" w:customStyle="1">
    <w:name w:val="Lined - Accent 1"/>
    <w:basedOn w:val="937"/>
    <w:uiPriority w:val="99"/>
    <w:qFormat/>
    <w:pPr>
      <w:spacing w:after="0" w:line="240" w:lineRule="auto"/>
    </w:pPr>
    <w:rPr>
      <w:color w:val="404040"/>
    </w:rPr>
    <w:tblPr/>
  </w:style>
  <w:style w:type="table" w:styleId="1096" w:customStyle="1">
    <w:name w:val="Lined - Accent 2"/>
    <w:basedOn w:val="937"/>
    <w:uiPriority w:val="99"/>
    <w:qFormat/>
    <w:pPr>
      <w:spacing w:after="0" w:line="240" w:lineRule="auto"/>
    </w:pPr>
    <w:rPr>
      <w:color w:val="404040"/>
    </w:rPr>
    <w:tblPr/>
  </w:style>
  <w:style w:type="table" w:styleId="1097" w:customStyle="1">
    <w:name w:val="Lined - Accent 3"/>
    <w:basedOn w:val="937"/>
    <w:uiPriority w:val="99"/>
    <w:qFormat/>
    <w:pPr>
      <w:spacing w:after="0" w:line="240" w:lineRule="auto"/>
    </w:pPr>
    <w:rPr>
      <w:color w:val="404040"/>
    </w:rPr>
    <w:tblPr/>
  </w:style>
  <w:style w:type="table" w:styleId="1098" w:customStyle="1">
    <w:name w:val="Lined - Accent 4"/>
    <w:basedOn w:val="937"/>
    <w:uiPriority w:val="99"/>
    <w:qFormat/>
    <w:pPr>
      <w:spacing w:after="0" w:line="240" w:lineRule="auto"/>
    </w:pPr>
    <w:rPr>
      <w:color w:val="404040"/>
    </w:rPr>
    <w:tblPr/>
  </w:style>
  <w:style w:type="table" w:styleId="1099" w:customStyle="1">
    <w:name w:val="Lined - Accent 5"/>
    <w:basedOn w:val="937"/>
    <w:uiPriority w:val="99"/>
    <w:qFormat/>
    <w:pPr>
      <w:spacing w:after="0" w:line="240" w:lineRule="auto"/>
    </w:pPr>
    <w:rPr>
      <w:color w:val="404040"/>
    </w:rPr>
    <w:tblPr/>
  </w:style>
  <w:style w:type="table" w:styleId="1100" w:customStyle="1">
    <w:name w:val="Lined - Accent 6"/>
    <w:basedOn w:val="937"/>
    <w:uiPriority w:val="99"/>
    <w:qFormat/>
    <w:pPr>
      <w:spacing w:after="0" w:line="240" w:lineRule="auto"/>
    </w:pPr>
    <w:rPr>
      <w:color w:val="404040"/>
    </w:rPr>
    <w:tblPr/>
  </w:style>
  <w:style w:type="table" w:styleId="1101" w:customStyle="1">
    <w:name w:val="Bordered &amp; Lined - Accent"/>
    <w:basedOn w:val="937"/>
    <w:uiPriority w:val="99"/>
    <w:qFormat/>
    <w:pPr>
      <w:spacing w:after="0" w:line="240" w:lineRule="auto"/>
    </w:pPr>
    <w:rPr>
      <w:color w:val="404040"/>
    </w:rPr>
    <w:tblPr/>
  </w:style>
  <w:style w:type="table" w:styleId="1102" w:customStyle="1">
    <w:name w:val="Bordered &amp; Lined - Accent 1"/>
    <w:basedOn w:val="937"/>
    <w:uiPriority w:val="99"/>
    <w:qFormat/>
    <w:pPr>
      <w:spacing w:after="0" w:line="240" w:lineRule="auto"/>
    </w:pPr>
    <w:rPr>
      <w:color w:val="404040"/>
    </w:rPr>
    <w:tblPr/>
  </w:style>
  <w:style w:type="table" w:styleId="1103" w:customStyle="1">
    <w:name w:val="Bordered &amp; Lined - Accent 2"/>
    <w:basedOn w:val="937"/>
    <w:uiPriority w:val="99"/>
    <w:qFormat/>
    <w:pPr>
      <w:spacing w:after="0" w:line="240" w:lineRule="auto"/>
    </w:pPr>
    <w:rPr>
      <w:color w:val="404040"/>
    </w:rPr>
    <w:tblPr/>
  </w:style>
  <w:style w:type="table" w:styleId="1104" w:customStyle="1">
    <w:name w:val="Bordered &amp; Lined - Accent 3"/>
    <w:basedOn w:val="937"/>
    <w:uiPriority w:val="99"/>
    <w:qFormat/>
    <w:pPr>
      <w:spacing w:after="0" w:line="240" w:lineRule="auto"/>
    </w:pPr>
    <w:rPr>
      <w:color w:val="404040"/>
    </w:rPr>
    <w:tblPr/>
  </w:style>
  <w:style w:type="table" w:styleId="1105" w:customStyle="1">
    <w:name w:val="Bordered &amp; Lined - Accent 4"/>
    <w:basedOn w:val="937"/>
    <w:uiPriority w:val="99"/>
    <w:qFormat/>
    <w:pPr>
      <w:spacing w:after="0" w:line="240" w:lineRule="auto"/>
    </w:pPr>
    <w:rPr>
      <w:color w:val="404040"/>
    </w:rPr>
    <w:tblPr/>
  </w:style>
  <w:style w:type="table" w:styleId="1106" w:customStyle="1">
    <w:name w:val="Bordered &amp; Lined - Accent 5"/>
    <w:basedOn w:val="937"/>
    <w:uiPriority w:val="99"/>
    <w:qFormat/>
    <w:pPr>
      <w:spacing w:after="0" w:line="240" w:lineRule="auto"/>
    </w:pPr>
    <w:rPr>
      <w:color w:val="404040"/>
    </w:rPr>
    <w:tblPr/>
  </w:style>
  <w:style w:type="table" w:styleId="1107" w:customStyle="1">
    <w:name w:val="Bordered &amp; Lined - Accent 6"/>
    <w:basedOn w:val="937"/>
    <w:uiPriority w:val="99"/>
    <w:qFormat/>
    <w:pPr>
      <w:spacing w:after="0" w:line="240" w:lineRule="auto"/>
    </w:pPr>
    <w:rPr>
      <w:color w:val="404040"/>
    </w:rPr>
    <w:tblPr/>
  </w:style>
  <w:style w:type="table" w:styleId="1108" w:customStyle="1">
    <w:name w:val="Bordered"/>
    <w:basedOn w:val="937"/>
    <w:uiPriority w:val="99"/>
    <w:qFormat/>
    <w:pPr>
      <w:spacing w:after="0" w:line="240" w:lineRule="auto"/>
    </w:pPr>
    <w:tblPr/>
  </w:style>
  <w:style w:type="table" w:styleId="1109" w:customStyle="1">
    <w:name w:val="Bordered - Accent 1"/>
    <w:basedOn w:val="937"/>
    <w:uiPriority w:val="99"/>
    <w:qFormat/>
    <w:pPr>
      <w:spacing w:after="0" w:line="240" w:lineRule="auto"/>
    </w:pPr>
    <w:tblPr/>
  </w:style>
  <w:style w:type="table" w:styleId="1110" w:customStyle="1">
    <w:name w:val="Bordered - Accent 2"/>
    <w:basedOn w:val="937"/>
    <w:uiPriority w:val="99"/>
    <w:qFormat/>
    <w:pPr>
      <w:spacing w:after="0" w:line="240" w:lineRule="auto"/>
    </w:pPr>
    <w:tblPr/>
  </w:style>
  <w:style w:type="table" w:styleId="1111" w:customStyle="1">
    <w:name w:val="Bordered - Accent 3"/>
    <w:basedOn w:val="937"/>
    <w:uiPriority w:val="99"/>
    <w:qFormat/>
    <w:pPr>
      <w:spacing w:after="0" w:line="240" w:lineRule="auto"/>
    </w:pPr>
    <w:tblPr/>
  </w:style>
  <w:style w:type="table" w:styleId="1112" w:customStyle="1">
    <w:name w:val="Bordered - Accent 4"/>
    <w:basedOn w:val="937"/>
    <w:uiPriority w:val="99"/>
    <w:qFormat/>
    <w:pPr>
      <w:spacing w:after="0" w:line="240" w:lineRule="auto"/>
    </w:pPr>
    <w:tblPr/>
  </w:style>
  <w:style w:type="table" w:styleId="1113" w:customStyle="1">
    <w:name w:val="Bordered - Accent 5"/>
    <w:basedOn w:val="937"/>
    <w:uiPriority w:val="99"/>
    <w:qFormat/>
    <w:pPr>
      <w:spacing w:after="0" w:line="240" w:lineRule="auto"/>
    </w:pPr>
    <w:tblPr/>
  </w:style>
  <w:style w:type="table" w:styleId="1114" w:customStyle="1">
    <w:name w:val="Bordered - Accent 6"/>
    <w:basedOn w:val="937"/>
    <w:uiPriority w:val="99"/>
    <w:qFormat/>
    <w:pPr>
      <w:spacing w:after="0" w:line="240" w:lineRule="auto"/>
    </w:pPr>
    <w:tblPr/>
  </w:style>
  <w:style w:type="paragraph" w:styleId="1115" w:customStyle="1">
    <w:name w:val="TOC Heading"/>
    <w:uiPriority w:val="39"/>
    <w:unhideWhenUsed/>
    <w:qFormat/>
    <w:rPr>
      <w:rFonts w:hint="default" w:ascii="等线" w:hAnsi="等线" w:eastAsia="等线" w:cs="Times New Roman"/>
      <w:lang w:val="en-US" w:eastAsia="zh-CN" w:bidi="ar-SA"/>
    </w:rPr>
  </w:style>
  <w:style w:type="paragraph" w:styleId="1116" w:customStyle="1">
    <w:name w:val="正文缩进1"/>
    <w:basedOn w:val="869"/>
    <w:uiPriority w:val="99"/>
    <w:qFormat/>
    <w:pPr>
      <w:ind w:firstLine="420"/>
    </w:pPr>
    <w:rPr>
      <w:b/>
      <w:sz w:val="24"/>
    </w:rPr>
  </w:style>
  <w:style w:type="paragraph" w:styleId="1117" w:customStyle="1">
    <w:name w:val="目录 11"/>
    <w:basedOn w:val="869"/>
    <w:next w:val="869"/>
    <w:uiPriority w:val="39"/>
    <w:qFormat/>
  </w:style>
  <w:style w:type="paragraph" w:styleId="1118" w:customStyle="1">
    <w:name w:val="目录 31"/>
    <w:basedOn w:val="869"/>
    <w:next w:val="869"/>
    <w:uiPriority w:val="39"/>
    <w:qFormat/>
    <w:pPr>
      <w:ind w:left="840"/>
    </w:pPr>
  </w:style>
  <w:style w:type="paragraph" w:styleId="1119" w:customStyle="1">
    <w:name w:val="正文文本缩进 31"/>
    <w:basedOn w:val="869"/>
    <w:uiPriority w:val="0"/>
    <w:qFormat/>
    <w:pPr>
      <w:ind w:firstLine="841"/>
    </w:pPr>
    <w:rPr>
      <w:rFonts w:eastAsia="华文新魏"/>
      <w:b/>
      <w:bCs/>
      <w:sz w:val="84"/>
    </w:rPr>
  </w:style>
  <w:style w:type="paragraph" w:styleId="1120" w:customStyle="1">
    <w:name w:val="普通(网站)1"/>
    <w:basedOn w:val="86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1" w:customStyle="1">
    <w:name w:val="正文首行缩进1"/>
    <w:basedOn w:val="980"/>
    <w:uiPriority w:val="0"/>
    <w:qFormat/>
    <w:pPr>
      <w:ind w:firstLine="420"/>
      <w:spacing w:line="360" w:lineRule="auto"/>
    </w:pPr>
    <w:rPr>
      <w:rFonts w:ascii="Times New Roman" w:hAnsi="Times New Roman" w:cs="Times New Roman"/>
      <w:szCs w:val="21"/>
    </w:rPr>
  </w:style>
  <w:style w:type="character" w:styleId="1122" w:customStyle="1">
    <w:name w:val="超链接1"/>
    <w:link w:val="869"/>
    <w:uiPriority w:val="99"/>
    <w:qFormat/>
    <w:rPr>
      <w:rFonts w:ascii="Times New Roman" w:hAnsi="Times New Roman" w:eastAsia="宋体" w:cs="Times New Roman"/>
      <w:sz w:val="21"/>
      <w:lang w:val="en-US" w:eastAsia="zh-CN" w:bidi="ar-SA"/>
    </w:rPr>
  </w:style>
  <w:style w:type="paragraph" w:styleId="1123" w:customStyle="1">
    <w:name w:val="标题 31"/>
    <w:basedOn w:val="869"/>
    <w:next w:val="1116"/>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24" w:customStyle="1">
    <w:name w:val="列表段落"/>
    <w:basedOn w:val="869"/>
    <w:uiPriority w:val="0"/>
    <w:qFormat/>
    <w:pPr>
      <w:ind w:firstLine="420"/>
      <w:jc w:val="left"/>
      <w:spacing w:after="200"/>
      <w:widowControl/>
    </w:pPr>
    <w:rPr>
      <w:rFonts w:ascii="Tahoma" w:hAnsi="Tahoma" w:eastAsia="微软雅黑"/>
      <w:sz w:val="22"/>
      <w:szCs w:val="22"/>
    </w:rPr>
  </w:style>
  <w:style w:type="paragraph" w:styleId="1125" w:customStyle="1">
    <w:name w:val="_Style 6"/>
    <w:basedOn w:val="869"/>
    <w:uiPriority w:val="34"/>
    <w:qFormat/>
    <w:pPr>
      <w:ind w:firstLine="420"/>
    </w:pPr>
    <w:rPr>
      <w:szCs w:val="24"/>
    </w:rPr>
  </w:style>
  <w:style w:type="paragraph" w:styleId="1126" w:customStyle="1">
    <w:name w:val="页眉1"/>
    <w:basedOn w:val="869"/>
    <w:uiPriority w:val="99"/>
    <w:qFormat/>
    <w:pPr>
      <w:jc w:val="center"/>
      <w:tabs>
        <w:tab w:val="center" w:pos="4153" w:leader="none"/>
        <w:tab w:val="right" w:pos="8306" w:leader="none"/>
      </w:tabs>
      <w:pBdr>
        <w:bottom w:val="single" w:color="000000" w:sz="6" w:space="1"/>
      </w:pBdr>
    </w:pPr>
    <w:rPr>
      <w:sz w:val="18"/>
    </w:rPr>
  </w:style>
  <w:style w:type="paragraph" w:styleId="1127" w:customStyle="1">
    <w:name w:val="页脚1"/>
    <w:basedOn w:val="869"/>
    <w:uiPriority w:val="99"/>
    <w:qFormat/>
    <w:pPr>
      <w:jc w:val="left"/>
      <w:tabs>
        <w:tab w:val="center" w:pos="4153" w:leader="none"/>
        <w:tab w:val="right" w:pos="8306" w:leader="none"/>
      </w:tabs>
    </w:pPr>
    <w:rPr>
      <w:sz w:val="18"/>
    </w:rPr>
  </w:style>
  <w:style w:type="paragraph" w:styleId="1128" w:customStyle="1">
    <w:name w:val="A3"/>
    <w:basedOn w:val="1129"/>
    <w:uiPriority w:val="0"/>
    <w:qFormat/>
    <w:pPr>
      <w:numPr>
        <w:ilvl w:val="2"/>
      </w:numPr>
      <w:ind w:firstLine="0"/>
      <w:spacing w:before="120"/>
      <w:tabs>
        <w:tab w:val="left" w:pos="1418" w:leader="none"/>
      </w:tabs>
    </w:pPr>
    <w:rPr>
      <w:lang w:val="zh-CN"/>
    </w:rPr>
  </w:style>
  <w:style w:type="paragraph" w:styleId="1129" w:customStyle="1">
    <w:name w:val="A2"/>
    <w:basedOn w:val="1130"/>
    <w:uiPriority w:val="0"/>
    <w:qFormat/>
    <w:pPr>
      <w:numPr>
        <w:ilvl w:val="1"/>
      </w:numPr>
      <w:ind w:firstLine="0"/>
      <w:tabs>
        <w:tab w:val="left" w:pos="1418" w:leader="none"/>
      </w:tabs>
    </w:pPr>
    <w:rPr>
      <w:rFonts w:hAnsi="宋体"/>
      <w:b w:val="0"/>
      <w:szCs w:val="21"/>
    </w:rPr>
  </w:style>
  <w:style w:type="paragraph" w:styleId="1130" w:customStyle="1">
    <w:name w:val="A1"/>
    <w:uiPriority w:val="0"/>
    <w:qFormat/>
    <w:pPr>
      <w:numPr>
        <w:ilvl w:val="0"/>
        <w:numId w:val="1"/>
      </w:numPr>
      <w:ind w:left="4390" w:hanging="1418"/>
      <w:spacing w:before="240"/>
      <w:tabs>
        <w:tab w:val="left" w:pos="1418" w:leader="none"/>
      </w:tabs>
      <w:outlineLvl w:val="0"/>
    </w:pPr>
    <w:rPr>
      <w:rFonts w:hint="default" w:ascii="Arial Narrow" w:hAnsi="Arial Narrow" w:eastAsia="仿宋" w:cs="Times New Roman"/>
      <w:b/>
      <w:sz w:val="24"/>
      <w:szCs w:val="24"/>
      <w:lang w:val="en-US" w:eastAsia="zh-CN" w:bidi="ar-SA"/>
    </w:rPr>
  </w:style>
  <w:style w:type="table" w:styleId="1131" w:customStyle="1">
    <w:name w:val="无格式表格 21"/>
    <w:uiPriority w:val="42"/>
    <w:qFormat/>
    <w:tblPr/>
  </w:style>
  <w:style w:type="paragraph" w:styleId="1132" w:customStyle="1">
    <w:name w:val="_Style 13"/>
    <w:uiPriority w:val="0"/>
    <w:qFormat/>
    <w:pPr>
      <w:ind w:left="0"/>
      <w:jc w:val="left"/>
      <w:spacing w:before="120" w:after="120" w:line="288" w:lineRule="auto"/>
    </w:pPr>
    <w:rPr>
      <w:rFonts w:ascii="Arial" w:hAnsi="Arial" w:eastAsia="等线" w:cs="Arial"/>
      <w:sz w:val="22"/>
      <w:szCs w:val="22"/>
    </w:rPr>
  </w:style>
  <w:style w:type="paragraph" w:styleId="1133" w:customStyle="1">
    <w:name w:val="正文首行缩进 21"/>
    <w:basedOn w:val="1134"/>
    <w:uiPriority w:val="0"/>
    <w:qFormat/>
    <w:pPr>
      <w:ind w:left="420" w:firstLine="420"/>
      <w:spacing w:after="120" w:line="480" w:lineRule="exact"/>
    </w:pPr>
    <w:rPr>
      <w:szCs w:val="20"/>
    </w:rPr>
  </w:style>
  <w:style w:type="paragraph" w:styleId="1134" w:customStyle="1">
    <w:name w:val="正文文本缩进11"/>
    <w:basedOn w:val="869"/>
    <w:next w:val="869"/>
    <w:uiPriority w:val="0"/>
    <w:qFormat/>
    <w:pPr>
      <w:ind w:firstLine="570"/>
      <w:spacing w:line="360" w:lineRule="auto"/>
    </w:pPr>
    <w:rPr>
      <w:sz w:val="24"/>
    </w:rPr>
  </w:style>
  <w:style w:type="table" w:styleId="1135" w:customStyle="1">
    <w:name w:val="Table Normal"/>
    <w:uiPriority w:val="0"/>
    <w:semiHidden/>
    <w:unhideWhenUsed/>
    <w:qFormat/>
    <w:tblPr>
      <w:tblCellMar>
        <w:left w:w="0" w:type="dxa"/>
        <w:top w:w="0" w:type="dxa"/>
        <w:right w:w="0" w:type="dxa"/>
        <w:bottom w:w="0" w:type="dxa"/>
      </w:tblCellMar>
    </w:tbl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朱志云</cp:lastModifiedBy>
  <cp:revision>9</cp:revision>
  <dcterms:created xsi:type="dcterms:W3CDTF">2024-12-21T12:30:00Z</dcterms:created>
  <dcterms:modified xsi:type="dcterms:W3CDTF">2026-05-13T01:47:46Z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eyJoZGlkIjoiMDgzM2JjOTYzZjVkZjI3NDFmYmZmZDgxMjU4NThiNzEiLCJ1c2VySWQiOiIzMDYyODI0MDcifQ==</vt:lpwstr>
  </property>
  <property fmtid="{D5CDD505-2E9C-101B-9397-08002B2CF9AE}" pid="3" name="KSOProductBuildVer">
    <vt:lpwstr>2052-12.1.0.25865</vt:lpwstr>
  </property>
  <property fmtid="{D5CDD505-2E9C-101B-9397-08002B2CF9AE}" pid="4" name="ICV">
    <vt:lpwstr>856DBF63661F48DA8FBD9180CEE29DD1_12</vt:lpwstr>
  </property>
</Properties>
</file>